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3"/>
          <w:numId w:val="0"/>
        </w:numPr>
        <w:ind w:left="1740" w:leftChars="0"/>
        <w:jc w:val="left"/>
        <w:rPr>
          <w:rFonts w:hint="eastAsia" w:ascii="楷体" w:hAnsi="楷体" w:eastAsia="楷体" w:cs="楷体"/>
          <w:color w:val="auto"/>
          <w:highlight w:val="none"/>
          <w:lang w:val="en-US" w:eastAsia="zh-CN"/>
        </w:rPr>
      </w:pPr>
    </w:p>
    <w:p>
      <w:pPr>
        <w:rPr>
          <w:rFonts w:hint="eastAsia"/>
          <w:lang w:val="en-US" w:eastAsia="zh-CN"/>
        </w:rPr>
      </w:pPr>
    </w:p>
    <w:p>
      <w:pPr>
        <w:pageBreakBefore w:val="0"/>
        <w:kinsoku/>
        <w:wordWrap/>
        <w:overflowPunct/>
        <w:topLinePunct w:val="0"/>
        <w:bidi w:val="0"/>
        <w:snapToGrid w:val="0"/>
        <w:spacing w:line="560" w:lineRule="exact"/>
        <w:jc w:val="left"/>
        <w:rPr>
          <w:rFonts w:hint="eastAsia" w:ascii="楷体" w:hAnsi="楷体" w:eastAsia="楷体" w:cs="楷体"/>
          <w:b/>
          <w:bCs/>
          <w:color w:val="auto"/>
          <w:sz w:val="44"/>
          <w:szCs w:val="4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楷体" w:hAnsi="楷体" w:eastAsia="楷体" w:cs="楷体"/>
          <w:b w:val="0"/>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楷体" w:hAnsi="楷体" w:eastAsia="楷体" w:cs="楷体"/>
          <w:b w:val="0"/>
          <w:bCs/>
          <w:color w:val="auto"/>
          <w:sz w:val="44"/>
          <w:szCs w:val="44"/>
          <w:highlight w:val="none"/>
        </w:rPr>
      </w:pPr>
      <w:r>
        <w:rPr>
          <w:rFonts w:hint="default" w:ascii="楷体" w:hAnsi="楷体" w:eastAsia="楷体" w:cs="楷体"/>
          <w:b w:val="0"/>
          <w:bCs/>
          <w:color w:val="auto"/>
          <w:sz w:val="44"/>
          <w:szCs w:val="44"/>
          <w:highlight w:val="none"/>
        </w:rPr>
        <w:t>周口市</w:t>
      </w:r>
      <w:r>
        <w:rPr>
          <w:rFonts w:hint="eastAsia" w:ascii="楷体" w:hAnsi="楷体" w:eastAsia="楷体" w:cs="楷体"/>
          <w:b w:val="0"/>
          <w:bCs/>
          <w:color w:val="auto"/>
          <w:sz w:val="44"/>
          <w:szCs w:val="44"/>
          <w:highlight w:val="none"/>
        </w:rPr>
        <w:t>中心医院智慧监督平台采购项目</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楷体" w:hAnsi="楷体" w:eastAsia="楷体" w:cs="楷体"/>
          <w:b w:val="0"/>
          <w:bCs/>
          <w:color w:val="auto"/>
          <w:sz w:val="28"/>
          <w:szCs w:val="28"/>
          <w:highlight w:val="none"/>
        </w:rPr>
      </w:pPr>
    </w:p>
    <w:p>
      <w:pPr>
        <w:pageBreakBefore w:val="0"/>
        <w:kinsoku/>
        <w:wordWrap/>
        <w:overflowPunct/>
        <w:topLinePunct w:val="0"/>
        <w:bidi w:val="0"/>
        <w:snapToGrid w:val="0"/>
        <w:spacing w:line="560" w:lineRule="exact"/>
        <w:ind w:firstLine="480" w:firstLineChars="200"/>
        <w:jc w:val="center"/>
        <w:rPr>
          <w:rFonts w:hint="eastAsia" w:ascii="楷体" w:hAnsi="楷体" w:eastAsia="楷体" w:cs="楷体"/>
          <w:b w:val="0"/>
          <w:bCs/>
          <w:color w:val="auto"/>
          <w:sz w:val="24"/>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楷体" w:hAnsi="楷体" w:eastAsia="楷体" w:cs="楷体"/>
          <w:b w:val="0"/>
          <w:bCs/>
          <w:color w:val="auto"/>
          <w:sz w:val="52"/>
          <w:szCs w:val="52"/>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楷体" w:hAnsi="楷体" w:eastAsia="楷体" w:cs="楷体"/>
          <w:b w:val="0"/>
          <w:bCs/>
          <w:color w:val="auto"/>
          <w:sz w:val="52"/>
          <w:szCs w:val="52"/>
          <w:highlight w:val="none"/>
        </w:rPr>
      </w:pPr>
      <w:r>
        <w:rPr>
          <w:rFonts w:hint="eastAsia" w:ascii="楷体" w:hAnsi="楷体" w:eastAsia="楷体" w:cs="楷体"/>
          <w:b w:val="0"/>
          <w:bCs/>
          <w:color w:val="auto"/>
          <w:sz w:val="52"/>
          <w:szCs w:val="52"/>
          <w:highlight w:val="none"/>
          <w:lang w:eastAsia="zh-CN"/>
        </w:rPr>
        <w:t>竞争性谈判</w:t>
      </w:r>
      <w:r>
        <w:rPr>
          <w:rFonts w:hint="eastAsia" w:ascii="楷体" w:hAnsi="楷体" w:eastAsia="楷体" w:cs="楷体"/>
          <w:b w:val="0"/>
          <w:bCs/>
          <w:color w:val="auto"/>
          <w:sz w:val="52"/>
          <w:szCs w:val="52"/>
          <w:highlight w:val="none"/>
        </w:rPr>
        <w:t>釆购文件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Style w:val="6"/>
        <w:numPr>
          <w:ilvl w:val="3"/>
          <w:numId w:val="0"/>
        </w:numPr>
        <w:ind w:left="1740" w:leftChars="0"/>
        <w:rPr>
          <w:rFonts w:hint="eastAsia" w:ascii="楷体" w:hAnsi="楷体" w:eastAsia="楷体" w:cs="楷体"/>
          <w:color w:val="auto"/>
          <w:highlight w:val="none"/>
        </w:rPr>
      </w:pPr>
    </w:p>
    <w:p>
      <w:pPr>
        <w:rPr>
          <w:rFonts w:hint="eastAsia" w:ascii="楷体" w:hAnsi="楷体" w:eastAsia="楷体" w:cs="楷体"/>
          <w:color w:val="auto"/>
          <w:highlight w:val="none"/>
        </w:rPr>
      </w:pPr>
    </w:p>
    <w:p>
      <w:pPr>
        <w:pStyle w:val="6"/>
        <w:numPr>
          <w:ilvl w:val="3"/>
          <w:numId w:val="0"/>
        </w:numPr>
        <w:rPr>
          <w:rFonts w:hint="eastAsia" w:ascii="楷体" w:hAnsi="楷体" w:eastAsia="楷体" w:cs="楷体"/>
          <w:color w:val="auto"/>
          <w:highlight w:val="none"/>
        </w:rPr>
      </w:pPr>
    </w:p>
    <w:p>
      <w:pPr>
        <w:rPr>
          <w:rFonts w:hint="eastAsia" w:ascii="楷体" w:hAnsi="楷体" w:eastAsia="楷体" w:cs="楷体"/>
          <w:color w:val="auto"/>
          <w:highlight w:val="none"/>
        </w:rPr>
      </w:pPr>
    </w:p>
    <w:p>
      <w:pPr>
        <w:pStyle w:val="14"/>
        <w:rPr>
          <w:rFonts w:hint="eastAsia" w:ascii="楷体" w:hAnsi="楷体" w:eastAsia="楷体" w:cs="楷体"/>
          <w:color w:val="auto"/>
          <w:highlight w:val="none"/>
        </w:rPr>
      </w:pPr>
    </w:p>
    <w:p>
      <w:pPr>
        <w:rPr>
          <w:rFonts w:hint="eastAsia"/>
          <w:color w:val="auto"/>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u w:val="none"/>
        </w:rPr>
      </w:pPr>
    </w:p>
    <w:p>
      <w:pPr>
        <w:pageBreakBefore w:val="0"/>
        <w:kinsoku/>
        <w:wordWrap/>
        <w:overflowPunct/>
        <w:topLinePunct w:val="0"/>
        <w:bidi w:val="0"/>
        <w:snapToGrid w:val="0"/>
        <w:spacing w:line="560" w:lineRule="exact"/>
        <w:ind w:firstLine="560" w:firstLineChars="200"/>
        <w:jc w:val="center"/>
        <w:rPr>
          <w:rFonts w:hint="eastAsia" w:ascii="楷体" w:hAnsi="楷体" w:eastAsia="楷体" w:cs="楷体"/>
          <w:color w:val="auto"/>
          <w:sz w:val="28"/>
          <w:szCs w:val="28"/>
          <w:highlight w:val="none"/>
          <w:u w:val="none"/>
          <w:lang w:eastAsia="zh-CN"/>
        </w:rPr>
      </w:pPr>
      <w:r>
        <w:rPr>
          <w:rFonts w:hint="eastAsia" w:ascii="楷体" w:hAnsi="楷体" w:eastAsia="楷体" w:cs="楷体"/>
          <w:color w:val="auto"/>
          <w:sz w:val="28"/>
          <w:szCs w:val="28"/>
          <w:highlight w:val="none"/>
          <w:u w:val="none"/>
        </w:rPr>
        <w:t>采购人</w:t>
      </w:r>
      <w:r>
        <w:rPr>
          <w:rFonts w:hint="eastAsia" w:ascii="楷体" w:hAnsi="楷体" w:eastAsia="楷体" w:cs="楷体"/>
          <w:color w:val="auto"/>
          <w:sz w:val="28"/>
          <w:szCs w:val="28"/>
          <w:highlight w:val="none"/>
          <w:u w:val="none"/>
          <w:lang w:eastAsia="zh-CN"/>
        </w:rPr>
        <w:t>：</w:t>
      </w:r>
      <w:r>
        <w:rPr>
          <w:rFonts w:hint="default" w:ascii="楷体" w:hAnsi="楷体" w:eastAsia="楷体" w:cs="楷体"/>
          <w:color w:val="auto"/>
          <w:sz w:val="28"/>
          <w:szCs w:val="28"/>
          <w:highlight w:val="none"/>
          <w:u w:val="none"/>
          <w:lang w:eastAsia="zh-CN"/>
        </w:rPr>
        <w:t>周口市</w:t>
      </w:r>
      <w:r>
        <w:rPr>
          <w:rFonts w:hint="eastAsia" w:ascii="楷体" w:hAnsi="楷体" w:eastAsia="楷体" w:cs="楷体"/>
          <w:color w:val="auto"/>
          <w:sz w:val="28"/>
          <w:szCs w:val="28"/>
          <w:highlight w:val="none"/>
          <w:u w:val="none"/>
          <w:lang w:eastAsia="zh-CN"/>
        </w:rPr>
        <w:t>中心医院</w:t>
      </w:r>
    </w:p>
    <w:p>
      <w:pPr>
        <w:pageBreakBefore w:val="0"/>
        <w:kinsoku/>
        <w:wordWrap/>
        <w:overflowPunct/>
        <w:topLinePunct w:val="0"/>
        <w:bidi w:val="0"/>
        <w:snapToGrid w:val="0"/>
        <w:spacing w:line="560" w:lineRule="exact"/>
        <w:ind w:firstLine="560" w:firstLineChars="200"/>
        <w:jc w:val="center"/>
        <w:rPr>
          <w:rFonts w:hint="eastAsia" w:ascii="楷体" w:hAnsi="楷体" w:eastAsia="楷体" w:cs="楷体"/>
          <w:color w:val="auto"/>
          <w:sz w:val="28"/>
          <w:szCs w:val="28"/>
          <w:highlight w:val="none"/>
          <w:u w:val="none"/>
        </w:rPr>
      </w:pPr>
      <w:r>
        <w:rPr>
          <w:rFonts w:hint="eastAsia" w:ascii="楷体" w:hAnsi="楷体" w:eastAsia="楷体" w:cs="楷体"/>
          <w:color w:val="auto"/>
          <w:sz w:val="28"/>
          <w:szCs w:val="28"/>
          <w:highlight w:val="none"/>
          <w:u w:val="none"/>
        </w:rPr>
        <w:t xml:space="preserve"> </w:t>
      </w:r>
      <w:r>
        <w:rPr>
          <w:rFonts w:hint="eastAsia" w:ascii="楷体" w:hAnsi="楷体" w:eastAsia="楷体" w:cs="楷体"/>
          <w:color w:val="auto"/>
          <w:sz w:val="28"/>
          <w:szCs w:val="28"/>
          <w:highlight w:val="none"/>
          <w:u w:val="none"/>
          <w:lang w:val="en-US" w:eastAsia="zh-CN"/>
        </w:rPr>
        <w:t>202</w:t>
      </w:r>
      <w:r>
        <w:rPr>
          <w:rFonts w:hint="default" w:ascii="楷体" w:hAnsi="楷体" w:eastAsia="楷体" w:cs="楷体"/>
          <w:color w:val="auto"/>
          <w:sz w:val="28"/>
          <w:szCs w:val="28"/>
          <w:highlight w:val="none"/>
          <w:u w:val="none"/>
          <w:lang w:eastAsia="zh-CN"/>
        </w:rPr>
        <w:t>3</w:t>
      </w:r>
      <w:r>
        <w:rPr>
          <w:rFonts w:hint="eastAsia" w:ascii="楷体" w:hAnsi="楷体" w:eastAsia="楷体" w:cs="楷体"/>
          <w:color w:val="auto"/>
          <w:sz w:val="28"/>
          <w:szCs w:val="28"/>
          <w:highlight w:val="none"/>
          <w:u w:val="none"/>
        </w:rPr>
        <w:t>年</w:t>
      </w:r>
      <w:r>
        <w:rPr>
          <w:rFonts w:hint="eastAsia" w:ascii="楷体" w:hAnsi="楷体" w:eastAsia="楷体" w:cs="楷体"/>
          <w:color w:val="auto"/>
          <w:sz w:val="28"/>
          <w:szCs w:val="28"/>
          <w:highlight w:val="none"/>
          <w:u w:val="none"/>
          <w:lang w:val="en-US" w:eastAsia="zh-CN"/>
        </w:rPr>
        <w:t>2</w:t>
      </w:r>
      <w:r>
        <w:rPr>
          <w:rFonts w:hint="eastAsia" w:ascii="楷体" w:hAnsi="楷体" w:eastAsia="楷体" w:cs="楷体"/>
          <w:color w:val="auto"/>
          <w:sz w:val="28"/>
          <w:szCs w:val="28"/>
          <w:highlight w:val="none"/>
          <w:u w:val="none"/>
        </w:rPr>
        <w:t>月</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sectPr>
          <w:pgSz w:w="11906" w:h="16838"/>
          <w:pgMar w:top="1440" w:right="1800" w:bottom="1440" w:left="1800" w:header="851" w:footer="992" w:gutter="0"/>
          <w:cols w:space="425" w:num="1"/>
          <w:docGrid w:type="lines" w:linePitch="312" w:charSpace="0"/>
        </w:sect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sdt>
      <w:sdtPr>
        <w:rPr>
          <w:rFonts w:hint="eastAsia" w:ascii="楷体" w:hAnsi="楷体" w:eastAsia="楷体" w:cs="楷体"/>
          <w:b/>
          <w:bCs/>
          <w:color w:val="auto"/>
          <w:kern w:val="2"/>
          <w:sz w:val="44"/>
          <w:szCs w:val="44"/>
          <w:highlight w:val="none"/>
          <w:lang w:val="en-US" w:eastAsia="zh-CN" w:bidi="ar-SA"/>
        </w:rPr>
        <w:id w:val="147464026"/>
        <w15:color w:val="DBDBDB"/>
      </w:sdtPr>
      <w:sdtEndPr>
        <w:rPr>
          <w:rFonts w:hint="eastAsia" w:ascii="楷体" w:hAnsi="楷体" w:eastAsia="楷体" w:cs="楷体"/>
          <w:b/>
          <w:bCs/>
          <w:color w:val="auto"/>
          <w:kern w:val="2"/>
          <w:sz w:val="32"/>
          <w:szCs w:val="32"/>
          <w:highlight w:val="none"/>
          <w:lang w:val="en-US" w:eastAsia="zh-CN" w:bidi="ar-SA"/>
        </w:rPr>
      </w:sdtEndPr>
      <w:sdtContent>
        <w:p>
          <w:pPr>
            <w:pageBreakBefore w:val="0"/>
            <w:kinsoku/>
            <w:wordWrap/>
            <w:overflowPunct/>
            <w:topLinePunct w:val="0"/>
            <w:bidi w:val="0"/>
            <w:snapToGrid w:val="0"/>
            <w:spacing w:before="0" w:beforeLines="0" w:after="0" w:afterLines="0" w:line="560" w:lineRule="exact"/>
            <w:ind w:left="0" w:leftChars="0" w:right="0" w:rightChars="0" w:firstLine="0" w:firstLineChars="0"/>
            <w:jc w:val="center"/>
            <w:rPr>
              <w:rFonts w:hint="eastAsia" w:ascii="楷体" w:hAnsi="楷体" w:eastAsia="楷体" w:cs="楷体"/>
              <w:b/>
              <w:bCs/>
              <w:color w:val="auto"/>
              <w:sz w:val="44"/>
              <w:szCs w:val="44"/>
              <w:highlight w:val="none"/>
            </w:rPr>
          </w:pPr>
          <w:bookmarkStart w:id="0" w:name="_Toc53945635"/>
          <w:r>
            <w:rPr>
              <w:rFonts w:hint="eastAsia" w:ascii="楷体" w:hAnsi="楷体" w:eastAsia="楷体" w:cs="楷体"/>
              <w:b/>
              <w:bCs/>
              <w:color w:val="auto"/>
              <w:sz w:val="44"/>
              <w:szCs w:val="44"/>
              <w:highlight w:val="none"/>
            </w:rPr>
            <w:t>目</w:t>
          </w:r>
          <w:r>
            <w:rPr>
              <w:rFonts w:hint="eastAsia" w:ascii="楷体" w:hAnsi="楷体" w:eastAsia="楷体" w:cs="楷体"/>
              <w:b/>
              <w:bCs/>
              <w:color w:val="auto"/>
              <w:sz w:val="44"/>
              <w:szCs w:val="44"/>
              <w:highlight w:val="none"/>
              <w:lang w:val="en-US" w:eastAsia="zh-CN"/>
            </w:rPr>
            <w:t xml:space="preserve">  </w:t>
          </w:r>
          <w:r>
            <w:rPr>
              <w:rFonts w:hint="eastAsia" w:ascii="楷体" w:hAnsi="楷体" w:eastAsia="楷体" w:cs="楷体"/>
              <w:b/>
              <w:bCs/>
              <w:color w:val="auto"/>
              <w:sz w:val="44"/>
              <w:szCs w:val="44"/>
              <w:highlight w:val="none"/>
            </w:rPr>
            <w:t>录</w:t>
          </w:r>
        </w:p>
        <w:p>
          <w:pPr>
            <w:pStyle w:val="37"/>
            <w:rPr>
              <w:rFonts w:hint="eastAsia" w:ascii="楷体" w:hAnsi="楷体" w:eastAsia="楷体" w:cs="楷体"/>
              <w:color w:val="auto"/>
              <w:highlight w:val="none"/>
            </w:rPr>
          </w:pPr>
        </w:p>
        <w:p>
          <w:pPr>
            <w:pStyle w:val="24"/>
            <w:keepNext w:val="0"/>
            <w:keepLines w:val="0"/>
            <w:pageBreakBefore w:val="0"/>
            <w:widowControl w:val="0"/>
            <w:tabs>
              <w:tab w:val="right" w:leader="dot" w:pos="8306"/>
            </w:tabs>
            <w:kinsoku/>
            <w:wordWrap/>
            <w:overflowPunct/>
            <w:topLinePunct w:val="0"/>
            <w:autoSpaceDE/>
            <w:autoSpaceDN/>
            <w:bidi w:val="0"/>
            <w:adjustRightInd/>
            <w:snapToGrid w:val="0"/>
            <w:spacing w:line="480" w:lineRule="auto"/>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TOC \o "1-3" \h \u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 HYPERLINK \l _Toc25134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rPr>
            <w:t xml:space="preserve">第一章  </w:t>
          </w:r>
          <w:r>
            <w:rPr>
              <w:rFonts w:hint="eastAsia" w:ascii="楷体" w:hAnsi="楷体" w:eastAsia="楷体" w:cs="楷体"/>
              <w:b w:val="0"/>
              <w:bCs w:val="0"/>
              <w:color w:val="auto"/>
              <w:sz w:val="32"/>
              <w:szCs w:val="32"/>
              <w:highlight w:val="none"/>
              <w:lang w:eastAsia="zh-CN"/>
            </w:rPr>
            <w:t>竞争性谈判</w:t>
          </w:r>
          <w:r>
            <w:rPr>
              <w:rFonts w:hint="eastAsia" w:ascii="楷体" w:hAnsi="楷体" w:eastAsia="楷体" w:cs="楷体"/>
              <w:b w:val="0"/>
              <w:bCs w:val="0"/>
              <w:color w:val="auto"/>
              <w:sz w:val="32"/>
              <w:szCs w:val="32"/>
              <w:highlight w:val="none"/>
            </w:rPr>
            <w:t>采购公告</w:t>
          </w:r>
          <w:r>
            <w:rPr>
              <w:rFonts w:hint="eastAsia" w:ascii="楷体" w:hAnsi="楷体" w:eastAsia="楷体" w:cs="楷体"/>
              <w:b w:val="0"/>
              <w:bCs w:val="0"/>
              <w:color w:val="auto"/>
              <w:sz w:val="32"/>
              <w:szCs w:val="32"/>
              <w:highlight w:val="none"/>
            </w:rPr>
            <w:tab/>
          </w: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 PAGEREF _Toc25134 \h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rPr>
            <w:t>3</w:t>
          </w:r>
          <w:r>
            <w:rPr>
              <w:rFonts w:hint="eastAsia" w:ascii="楷体" w:hAnsi="楷体" w:eastAsia="楷体" w:cs="楷体"/>
              <w:b w:val="0"/>
              <w:bCs w:val="0"/>
              <w:color w:val="auto"/>
              <w:sz w:val="32"/>
              <w:szCs w:val="32"/>
              <w:highlight w:val="none"/>
            </w:rPr>
            <w:fldChar w:fldCharType="end"/>
          </w:r>
          <w:r>
            <w:rPr>
              <w:rFonts w:hint="eastAsia" w:ascii="楷体" w:hAnsi="楷体" w:eastAsia="楷体" w:cs="楷体"/>
              <w:b w:val="0"/>
              <w:bCs w:val="0"/>
              <w:color w:val="auto"/>
              <w:sz w:val="32"/>
              <w:szCs w:val="32"/>
              <w:highlight w:val="none"/>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val="0"/>
            <w:spacing w:line="480" w:lineRule="auto"/>
            <w:ind w:left="0" w:leftChars="0" w:firstLine="0" w:firstLineChars="0"/>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 HYPERLINK \l _Toc5900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lang w:val="en-US" w:eastAsia="zh-CN"/>
            </w:rPr>
            <w:t xml:space="preserve">第二章  </w:t>
          </w:r>
          <w:r>
            <w:rPr>
              <w:rFonts w:hint="eastAsia" w:ascii="楷体" w:hAnsi="楷体" w:eastAsia="楷体" w:cs="楷体"/>
              <w:b w:val="0"/>
              <w:bCs w:val="0"/>
              <w:color w:val="auto"/>
              <w:sz w:val="32"/>
              <w:szCs w:val="32"/>
              <w:highlight w:val="none"/>
            </w:rPr>
            <w:t>供应商须</w:t>
          </w:r>
          <w:r>
            <w:rPr>
              <w:rFonts w:hint="eastAsia" w:ascii="楷体" w:hAnsi="楷体" w:eastAsia="楷体" w:cs="楷体"/>
              <w:b w:val="0"/>
              <w:bCs w:val="0"/>
              <w:color w:val="auto"/>
              <w:sz w:val="32"/>
              <w:szCs w:val="32"/>
              <w:highlight w:val="none"/>
              <w:lang w:val="en-US" w:eastAsia="zh-CN"/>
            </w:rPr>
            <w:t>知</w:t>
          </w:r>
          <w:r>
            <w:rPr>
              <w:rFonts w:hint="eastAsia" w:ascii="楷体" w:hAnsi="楷体" w:eastAsia="楷体" w:cs="楷体"/>
              <w:b w:val="0"/>
              <w:bCs w:val="0"/>
              <w:color w:val="auto"/>
              <w:sz w:val="32"/>
              <w:szCs w:val="32"/>
              <w:highlight w:val="none"/>
            </w:rPr>
            <w:tab/>
          </w: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 PAGEREF _Toc5900 \h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rPr>
            <w:t>6</w:t>
          </w:r>
          <w:r>
            <w:rPr>
              <w:rFonts w:hint="eastAsia" w:ascii="楷体" w:hAnsi="楷体" w:eastAsia="楷体" w:cs="楷体"/>
              <w:b w:val="0"/>
              <w:bCs w:val="0"/>
              <w:color w:val="auto"/>
              <w:sz w:val="32"/>
              <w:szCs w:val="32"/>
              <w:highlight w:val="none"/>
            </w:rPr>
            <w:fldChar w:fldCharType="end"/>
          </w:r>
          <w:r>
            <w:rPr>
              <w:rFonts w:hint="eastAsia" w:ascii="楷体" w:hAnsi="楷体" w:eastAsia="楷体" w:cs="楷体"/>
              <w:b w:val="0"/>
              <w:bCs w:val="0"/>
              <w:color w:val="auto"/>
              <w:sz w:val="32"/>
              <w:szCs w:val="32"/>
              <w:highlight w:val="none"/>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val="0"/>
            <w:spacing w:line="480" w:lineRule="auto"/>
            <w:textAlignment w:val="auto"/>
            <w:rPr>
              <w:rFonts w:hint="default"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 HYPERLINK \l _Toc2302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rPr>
            <w:t xml:space="preserve">第三章 </w:t>
          </w:r>
          <w:r>
            <w:rPr>
              <w:rFonts w:hint="eastAsia" w:ascii="楷体" w:hAnsi="楷体" w:eastAsia="楷体" w:cs="楷体"/>
              <w:b w:val="0"/>
              <w:bCs w:val="0"/>
              <w:color w:val="auto"/>
              <w:sz w:val="32"/>
              <w:szCs w:val="32"/>
              <w:highlight w:val="none"/>
            </w:rPr>
            <w:fldChar w:fldCharType="end"/>
          </w:r>
          <w:r>
            <w:rPr>
              <w:rFonts w:hint="eastAsia" w:ascii="楷体" w:hAnsi="楷体" w:eastAsia="楷体" w:cs="楷体"/>
              <w:b w:val="0"/>
              <w:bCs w:val="0"/>
              <w:color w:val="auto"/>
              <w:sz w:val="32"/>
              <w:szCs w:val="32"/>
              <w:highlight w:val="none"/>
            </w:rPr>
            <w:t>合同条款及格式</w:t>
          </w:r>
          <w:r>
            <w:rPr>
              <w:rFonts w:hint="eastAsia" w:ascii="楷体" w:hAnsi="楷体" w:eastAsia="楷体" w:cs="楷体"/>
              <w:b w:val="0"/>
              <w:bCs w:val="0"/>
              <w:color w:val="auto"/>
              <w:sz w:val="32"/>
              <w:szCs w:val="32"/>
              <w:highlight w:val="none"/>
            </w:rPr>
            <w:tab/>
          </w:r>
          <w:r>
            <w:rPr>
              <w:rFonts w:hint="eastAsia" w:ascii="楷体" w:hAnsi="楷体" w:eastAsia="楷体" w:cs="楷体"/>
              <w:b w:val="0"/>
              <w:bCs w:val="0"/>
              <w:color w:val="auto"/>
              <w:sz w:val="32"/>
              <w:szCs w:val="32"/>
              <w:highlight w:val="none"/>
              <w:lang w:val="en-US" w:eastAsia="zh-CN"/>
            </w:rPr>
            <w:t>16</w:t>
          </w:r>
        </w:p>
        <w:p>
          <w:pPr>
            <w:pStyle w:val="24"/>
            <w:keepNext w:val="0"/>
            <w:keepLines w:val="0"/>
            <w:pageBreakBefore w:val="0"/>
            <w:widowControl w:val="0"/>
            <w:tabs>
              <w:tab w:val="right" w:leader="dot" w:pos="8306"/>
            </w:tabs>
            <w:kinsoku/>
            <w:wordWrap/>
            <w:overflowPunct/>
            <w:topLinePunct w:val="0"/>
            <w:autoSpaceDE/>
            <w:autoSpaceDN/>
            <w:bidi w:val="0"/>
            <w:adjustRightInd/>
            <w:snapToGrid w:val="0"/>
            <w:spacing w:line="480" w:lineRule="auto"/>
            <w:textAlignment w:val="auto"/>
            <w:rPr>
              <w:rFonts w:hint="default"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 HYPERLINK \l _Toc12452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rPr>
            <w:t xml:space="preserve">第四章 </w:t>
          </w:r>
          <w:r>
            <w:rPr>
              <w:rFonts w:hint="eastAsia" w:ascii="楷体" w:hAnsi="楷体" w:eastAsia="楷体" w:cs="楷体"/>
              <w:b w:val="0"/>
              <w:bCs w:val="0"/>
              <w:color w:val="auto"/>
              <w:sz w:val="32"/>
              <w:szCs w:val="32"/>
              <w:highlight w:val="none"/>
            </w:rPr>
            <w:fldChar w:fldCharType="end"/>
          </w:r>
          <w:r>
            <w:rPr>
              <w:rFonts w:hint="eastAsia" w:ascii="楷体" w:hAnsi="楷体" w:eastAsia="楷体" w:cs="楷体"/>
              <w:b w:val="0"/>
              <w:bCs w:val="0"/>
              <w:color w:val="auto"/>
              <w:sz w:val="32"/>
              <w:szCs w:val="32"/>
              <w:highlight w:val="none"/>
              <w:lang w:val="en-US" w:eastAsia="zh-CN"/>
            </w:rPr>
            <w:t xml:space="preserve"> </w:t>
          </w:r>
          <w:r>
            <w:rPr>
              <w:rFonts w:hint="eastAsia" w:ascii="楷体" w:hAnsi="楷体" w:eastAsia="楷体" w:cs="楷体"/>
              <w:b w:val="0"/>
              <w:bCs w:val="0"/>
              <w:color w:val="auto"/>
              <w:sz w:val="32"/>
              <w:szCs w:val="32"/>
              <w:highlight w:val="none"/>
            </w:rPr>
            <w:t>采购需求</w:t>
          </w:r>
          <w:r>
            <w:rPr>
              <w:rFonts w:hint="eastAsia" w:ascii="楷体" w:hAnsi="楷体" w:eastAsia="楷体" w:cs="楷体"/>
              <w:b w:val="0"/>
              <w:bCs w:val="0"/>
              <w:color w:val="auto"/>
              <w:sz w:val="32"/>
              <w:szCs w:val="32"/>
              <w:highlight w:val="none"/>
            </w:rPr>
            <w:tab/>
          </w:r>
          <w:r>
            <w:rPr>
              <w:rFonts w:hint="eastAsia" w:ascii="楷体" w:hAnsi="楷体" w:eastAsia="楷体" w:cs="楷体"/>
              <w:b w:val="0"/>
              <w:bCs w:val="0"/>
              <w:color w:val="auto"/>
              <w:sz w:val="32"/>
              <w:szCs w:val="32"/>
              <w:highlight w:val="none"/>
              <w:lang w:val="en-US" w:eastAsia="zh-CN"/>
            </w:rPr>
            <w:t>18</w:t>
          </w:r>
        </w:p>
        <w:p>
          <w:pPr>
            <w:pStyle w:val="24"/>
            <w:keepNext w:val="0"/>
            <w:keepLines w:val="0"/>
            <w:pageBreakBefore w:val="0"/>
            <w:widowControl w:val="0"/>
            <w:tabs>
              <w:tab w:val="right" w:leader="dot" w:pos="8306"/>
            </w:tabs>
            <w:kinsoku/>
            <w:wordWrap/>
            <w:overflowPunct/>
            <w:topLinePunct w:val="0"/>
            <w:autoSpaceDE/>
            <w:autoSpaceDN/>
            <w:bidi w:val="0"/>
            <w:adjustRightInd/>
            <w:snapToGrid w:val="0"/>
            <w:spacing w:line="480" w:lineRule="auto"/>
            <w:textAlignment w:val="auto"/>
            <w:rPr>
              <w:rFonts w:hint="default"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rPr>
            <w:fldChar w:fldCharType="begin"/>
          </w:r>
          <w:r>
            <w:rPr>
              <w:rFonts w:hint="eastAsia" w:ascii="楷体" w:hAnsi="楷体" w:eastAsia="楷体" w:cs="楷体"/>
              <w:b w:val="0"/>
              <w:bCs w:val="0"/>
              <w:color w:val="auto"/>
              <w:sz w:val="32"/>
              <w:szCs w:val="32"/>
              <w:highlight w:val="none"/>
            </w:rPr>
            <w:instrText xml:space="preserve"> HYPERLINK \l _Toc15327 </w:instrText>
          </w:r>
          <w:r>
            <w:rPr>
              <w:rFonts w:hint="eastAsia" w:ascii="楷体" w:hAnsi="楷体" w:eastAsia="楷体" w:cs="楷体"/>
              <w:b w:val="0"/>
              <w:bCs w:val="0"/>
              <w:color w:val="auto"/>
              <w:sz w:val="32"/>
              <w:szCs w:val="32"/>
              <w:highlight w:val="none"/>
            </w:rPr>
            <w:fldChar w:fldCharType="separate"/>
          </w:r>
          <w:r>
            <w:rPr>
              <w:rFonts w:hint="eastAsia" w:ascii="楷体" w:hAnsi="楷体" w:eastAsia="楷体" w:cs="楷体"/>
              <w:b w:val="0"/>
              <w:bCs w:val="0"/>
              <w:color w:val="auto"/>
              <w:sz w:val="32"/>
              <w:szCs w:val="32"/>
              <w:highlight w:val="none"/>
            </w:rPr>
            <w:t xml:space="preserve">第五章 </w:t>
          </w:r>
          <w:r>
            <w:rPr>
              <w:rFonts w:hint="eastAsia" w:ascii="楷体" w:hAnsi="楷体" w:eastAsia="楷体" w:cs="楷体"/>
              <w:b w:val="0"/>
              <w:bCs w:val="0"/>
              <w:color w:val="auto"/>
              <w:sz w:val="32"/>
              <w:szCs w:val="32"/>
              <w:highlight w:val="none"/>
            </w:rPr>
            <w:fldChar w:fldCharType="end"/>
          </w:r>
          <w:r>
            <w:rPr>
              <w:rFonts w:hint="eastAsia" w:ascii="楷体" w:hAnsi="楷体" w:eastAsia="楷体" w:cs="楷体"/>
              <w:b w:val="0"/>
              <w:bCs w:val="0"/>
              <w:color w:val="auto"/>
              <w:sz w:val="32"/>
              <w:szCs w:val="32"/>
              <w:highlight w:val="none"/>
            </w:rPr>
            <w:t>响应文件格式</w:t>
          </w:r>
          <w:r>
            <w:rPr>
              <w:rFonts w:hint="eastAsia" w:ascii="楷体" w:hAnsi="楷体" w:eastAsia="楷体" w:cs="楷体"/>
              <w:b w:val="0"/>
              <w:bCs w:val="0"/>
              <w:color w:val="auto"/>
              <w:sz w:val="32"/>
              <w:szCs w:val="32"/>
              <w:highlight w:val="none"/>
            </w:rPr>
            <w:tab/>
          </w:r>
          <w:r>
            <w:rPr>
              <w:rFonts w:hint="eastAsia" w:ascii="楷体" w:hAnsi="楷体" w:eastAsia="楷体" w:cs="楷体"/>
              <w:b w:val="0"/>
              <w:bCs w:val="0"/>
              <w:color w:val="auto"/>
              <w:sz w:val="32"/>
              <w:szCs w:val="32"/>
              <w:highlight w:val="none"/>
              <w:lang w:val="en-US" w:eastAsia="zh-CN"/>
            </w:rPr>
            <w:t>26</w:t>
          </w:r>
        </w:p>
        <w:p>
          <w:pPr>
            <w:pStyle w:val="24"/>
            <w:keepNext w:val="0"/>
            <w:keepLines w:val="0"/>
            <w:pageBreakBefore w:val="0"/>
            <w:widowControl w:val="0"/>
            <w:tabs>
              <w:tab w:val="right" w:leader="dot" w:pos="8306"/>
            </w:tabs>
            <w:kinsoku/>
            <w:wordWrap/>
            <w:overflowPunct/>
            <w:topLinePunct w:val="0"/>
            <w:autoSpaceDE/>
            <w:autoSpaceDN/>
            <w:bidi w:val="0"/>
            <w:adjustRightInd/>
            <w:snapToGrid w:val="0"/>
            <w:spacing w:line="480" w:lineRule="auto"/>
            <w:textAlignment w:val="auto"/>
            <w:rPr>
              <w:rFonts w:hint="eastAsia" w:ascii="楷体" w:hAnsi="楷体" w:eastAsia="楷体" w:cs="楷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楷体" w:hAnsi="楷体" w:eastAsia="楷体" w:cs="楷体"/>
              <w:color w:val="auto"/>
              <w:highlight w:val="none"/>
            </w:rPr>
          </w:pPr>
          <w:r>
            <w:rPr>
              <w:rFonts w:hint="eastAsia" w:ascii="楷体" w:hAnsi="楷体" w:eastAsia="楷体" w:cs="楷体"/>
              <w:b w:val="0"/>
              <w:bCs w:val="0"/>
              <w:color w:val="auto"/>
              <w:sz w:val="32"/>
              <w:szCs w:val="32"/>
              <w:highlight w:val="none"/>
            </w:rPr>
            <w:fldChar w:fldCharType="end"/>
          </w:r>
        </w:p>
      </w:sdtContent>
    </w:sdt>
    <w:p>
      <w:pPr>
        <w:pageBreakBefore w:val="0"/>
        <w:kinsoku/>
        <w:wordWrap/>
        <w:overflowPunct/>
        <w:topLinePunct w:val="0"/>
        <w:bidi w:val="0"/>
        <w:snapToGrid w:val="0"/>
        <w:spacing w:line="560" w:lineRule="exact"/>
        <w:rPr>
          <w:rFonts w:hint="eastAsia" w:ascii="楷体" w:hAnsi="楷体" w:eastAsia="楷体" w:cs="楷体"/>
          <w:color w:val="auto"/>
          <w:highlight w:val="none"/>
        </w:rPr>
      </w:pPr>
      <w:r>
        <w:rPr>
          <w:rFonts w:hint="eastAsia" w:ascii="楷体" w:hAnsi="楷体" w:eastAsia="楷体" w:cs="楷体"/>
          <w:color w:val="auto"/>
          <w:highlight w:val="none"/>
        </w:rPr>
        <w:br w:type="page"/>
      </w:r>
    </w:p>
    <w:p>
      <w:pPr>
        <w:pStyle w:val="3"/>
        <w:pageBreakBefore w:val="0"/>
        <w:kinsoku/>
        <w:wordWrap/>
        <w:overflowPunct/>
        <w:topLinePunct w:val="0"/>
        <w:bidi w:val="0"/>
        <w:snapToGrid w:val="0"/>
        <w:spacing w:before="312" w:after="312" w:line="560" w:lineRule="exact"/>
        <w:rPr>
          <w:rFonts w:hint="eastAsia" w:ascii="楷体" w:hAnsi="楷体" w:eastAsia="楷体" w:cs="楷体"/>
          <w:color w:val="auto"/>
          <w:highlight w:val="none"/>
        </w:rPr>
      </w:pPr>
      <w:bookmarkStart w:id="1" w:name="_Toc25134"/>
      <w:r>
        <w:rPr>
          <w:rFonts w:hint="eastAsia" w:ascii="楷体" w:hAnsi="楷体" w:eastAsia="楷体" w:cs="楷体"/>
          <w:color w:val="auto"/>
          <w:highlight w:val="none"/>
        </w:rPr>
        <w:t xml:space="preserve">第一章  </w:t>
      </w:r>
      <w:r>
        <w:rPr>
          <w:rFonts w:hint="eastAsia" w:ascii="楷体" w:hAnsi="楷体" w:eastAsia="楷体" w:cs="楷体"/>
          <w:color w:val="auto"/>
          <w:highlight w:val="none"/>
          <w:lang w:eastAsia="zh-CN"/>
        </w:rPr>
        <w:t>竞争性谈判</w:t>
      </w:r>
      <w:r>
        <w:rPr>
          <w:rFonts w:hint="eastAsia" w:ascii="楷体" w:hAnsi="楷体" w:eastAsia="楷体" w:cs="楷体"/>
          <w:color w:val="auto"/>
          <w:highlight w:val="none"/>
        </w:rPr>
        <w:t>采购公告</w:t>
      </w:r>
      <w:bookmarkEnd w:id="0"/>
      <w:bookmarkEnd w:id="1"/>
    </w:p>
    <w:p>
      <w:pPr>
        <w:pageBreakBefore w:val="0"/>
        <w:kinsoku/>
        <w:wordWrap/>
        <w:overflowPunct/>
        <w:topLinePunct w:val="0"/>
        <w:bidi w:val="0"/>
        <w:snapToGrid w:val="0"/>
        <w:spacing w:line="560" w:lineRule="exact"/>
        <w:jc w:val="center"/>
        <w:outlineLvl w:val="1"/>
        <w:rPr>
          <w:rFonts w:hint="eastAsia" w:ascii="楷体" w:hAnsi="楷体" w:eastAsia="楷体" w:cs="楷体"/>
          <w:b/>
          <w:color w:val="auto"/>
          <w:sz w:val="28"/>
          <w:szCs w:val="28"/>
          <w:highlight w:val="none"/>
        </w:rPr>
      </w:pPr>
      <w:bookmarkStart w:id="2" w:name="_Toc14757"/>
      <w:bookmarkStart w:id="3" w:name="_Toc13972"/>
      <w:r>
        <w:rPr>
          <w:rFonts w:hint="default" w:ascii="楷体" w:hAnsi="楷体" w:eastAsia="楷体" w:cs="楷体"/>
          <w:b/>
          <w:color w:val="auto"/>
          <w:sz w:val="28"/>
          <w:szCs w:val="28"/>
          <w:highlight w:val="none"/>
        </w:rPr>
        <w:t>周口市</w:t>
      </w:r>
      <w:r>
        <w:rPr>
          <w:rFonts w:hint="eastAsia" w:ascii="楷体" w:hAnsi="楷体" w:eastAsia="楷体" w:cs="楷体"/>
          <w:b/>
          <w:color w:val="auto"/>
          <w:sz w:val="28"/>
          <w:szCs w:val="28"/>
          <w:highlight w:val="none"/>
        </w:rPr>
        <w:t>中心医院智慧监督平台采购项目</w:t>
      </w:r>
      <w:r>
        <w:rPr>
          <w:rFonts w:hint="eastAsia" w:ascii="楷体" w:hAnsi="楷体" w:eastAsia="楷体" w:cs="楷体"/>
          <w:b/>
          <w:color w:val="auto"/>
          <w:sz w:val="28"/>
          <w:szCs w:val="28"/>
          <w:highlight w:val="none"/>
          <w:lang w:eastAsia="zh-CN"/>
        </w:rPr>
        <w:t>竞争性谈判</w:t>
      </w:r>
      <w:r>
        <w:rPr>
          <w:rFonts w:hint="eastAsia" w:ascii="楷体" w:hAnsi="楷体" w:eastAsia="楷体" w:cs="楷体"/>
          <w:b/>
          <w:color w:val="auto"/>
          <w:sz w:val="28"/>
          <w:szCs w:val="28"/>
          <w:highlight w:val="none"/>
          <w:lang w:val="en-US" w:eastAsia="zh-CN"/>
        </w:rPr>
        <w:t>采购</w:t>
      </w:r>
      <w:r>
        <w:rPr>
          <w:rFonts w:hint="eastAsia" w:ascii="楷体" w:hAnsi="楷体" w:eastAsia="楷体" w:cs="楷体"/>
          <w:b/>
          <w:color w:val="auto"/>
          <w:sz w:val="28"/>
          <w:szCs w:val="28"/>
          <w:highlight w:val="none"/>
        </w:rPr>
        <w:t>公告</w:t>
      </w:r>
      <w:bookmarkEnd w:id="2"/>
      <w:bookmarkEnd w:id="3"/>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lang w:eastAsia="zh-CN"/>
        </w:rPr>
        <w:t xml:space="preserve"> </w:t>
      </w:r>
      <w:r>
        <w:rPr>
          <w:rFonts w:hint="default" w:ascii="楷体" w:hAnsi="楷体" w:eastAsia="楷体" w:cs="楷体"/>
          <w:color w:val="auto"/>
          <w:sz w:val="24"/>
          <w:highlight w:val="none"/>
          <w:lang w:eastAsia="zh-CN"/>
        </w:rPr>
        <w:t>周口市</w:t>
      </w:r>
      <w:r>
        <w:rPr>
          <w:rFonts w:hint="eastAsia" w:ascii="楷体" w:hAnsi="楷体" w:eastAsia="楷体" w:cs="楷体"/>
          <w:color w:val="auto"/>
          <w:sz w:val="24"/>
          <w:highlight w:val="none"/>
          <w:lang w:eastAsia="zh-CN"/>
        </w:rPr>
        <w:t>中心医院智慧监督平台采购项目</w:t>
      </w:r>
      <w:r>
        <w:rPr>
          <w:rFonts w:hint="eastAsia" w:ascii="楷体" w:hAnsi="楷体" w:eastAsia="楷体" w:cs="楷体"/>
          <w:color w:val="auto"/>
          <w:sz w:val="24"/>
          <w:highlight w:val="none"/>
        </w:rPr>
        <w:t>已具备采购条件，现公开邀请供应商参加</w:t>
      </w:r>
      <w:r>
        <w:rPr>
          <w:rFonts w:hint="eastAsia" w:ascii="楷体" w:hAnsi="楷体" w:eastAsia="楷体" w:cs="楷体"/>
          <w:color w:val="auto"/>
          <w:sz w:val="24"/>
          <w:highlight w:val="none"/>
          <w:lang w:eastAsia="zh-CN"/>
        </w:rPr>
        <w:t>竞争性谈判</w:t>
      </w:r>
      <w:r>
        <w:rPr>
          <w:rFonts w:hint="eastAsia" w:ascii="楷体" w:hAnsi="楷体" w:eastAsia="楷体" w:cs="楷体"/>
          <w:color w:val="auto"/>
          <w:sz w:val="24"/>
          <w:highlight w:val="none"/>
        </w:rPr>
        <w:t>采购活动。</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4" w:name="_Toc53945636"/>
      <w:bookmarkStart w:id="5" w:name="_Toc9456"/>
      <w:bookmarkStart w:id="6" w:name="_Toc9420"/>
      <w:r>
        <w:rPr>
          <w:rFonts w:hint="eastAsia" w:ascii="楷体" w:hAnsi="楷体" w:eastAsia="楷体" w:cs="楷体"/>
          <w:color w:val="auto"/>
          <w:highlight w:val="none"/>
        </w:rPr>
        <w:t>1采购项目简介</w:t>
      </w:r>
      <w:bookmarkEnd w:id="4"/>
      <w:bookmarkEnd w:id="5"/>
      <w:bookmarkEnd w:id="6"/>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u w:val="single"/>
          <w:lang w:eastAsia="zh-CN"/>
        </w:rPr>
      </w:pPr>
      <w:r>
        <w:rPr>
          <w:rFonts w:hint="eastAsia" w:ascii="楷体" w:hAnsi="楷体" w:eastAsia="楷体" w:cs="楷体"/>
          <w:color w:val="auto"/>
          <w:sz w:val="24"/>
          <w:highlight w:val="none"/>
        </w:rPr>
        <w:t>1.1采购项目名称：</w:t>
      </w:r>
      <w:r>
        <w:rPr>
          <w:rFonts w:hint="default" w:ascii="楷体" w:hAnsi="楷体" w:eastAsia="楷体" w:cs="楷体"/>
          <w:color w:val="auto"/>
          <w:sz w:val="24"/>
          <w:highlight w:val="none"/>
          <w:lang w:eastAsia="zh-CN"/>
        </w:rPr>
        <w:t>周口市</w:t>
      </w:r>
      <w:r>
        <w:rPr>
          <w:rFonts w:hint="eastAsia" w:ascii="楷体" w:hAnsi="楷体" w:eastAsia="楷体" w:cs="楷体"/>
          <w:color w:val="auto"/>
          <w:sz w:val="24"/>
          <w:highlight w:val="none"/>
          <w:lang w:eastAsia="zh-CN"/>
        </w:rPr>
        <w:t>中心医院智慧监督平台采购项目</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u w:val="single"/>
          <w:lang w:eastAsia="zh-CN"/>
        </w:rPr>
      </w:pPr>
      <w:r>
        <w:rPr>
          <w:rFonts w:hint="eastAsia" w:ascii="楷体" w:hAnsi="楷体" w:eastAsia="楷体" w:cs="楷体"/>
          <w:color w:val="auto"/>
          <w:sz w:val="24"/>
          <w:highlight w:val="none"/>
        </w:rPr>
        <w:t>1.2采购</w:t>
      </w:r>
      <w:r>
        <w:rPr>
          <w:rFonts w:hint="eastAsia" w:ascii="楷体" w:hAnsi="楷体" w:eastAsia="楷体" w:cs="楷体"/>
          <w:color w:val="auto"/>
          <w:sz w:val="24"/>
          <w:highlight w:val="none"/>
          <w:lang w:val="en-US" w:eastAsia="zh-CN"/>
        </w:rPr>
        <w:t>人</w:t>
      </w:r>
      <w:r>
        <w:rPr>
          <w:rFonts w:hint="eastAsia" w:ascii="楷体" w:hAnsi="楷体" w:eastAsia="楷体" w:cs="楷体"/>
          <w:color w:val="auto"/>
          <w:sz w:val="24"/>
          <w:highlight w:val="none"/>
        </w:rPr>
        <w:t>：</w:t>
      </w:r>
      <w:r>
        <w:rPr>
          <w:rFonts w:hint="default" w:ascii="楷体" w:hAnsi="楷体" w:eastAsia="楷体" w:cs="楷体"/>
          <w:color w:val="auto"/>
          <w:sz w:val="24"/>
          <w:highlight w:val="none"/>
          <w:lang w:eastAsia="zh-CN"/>
        </w:rPr>
        <w:t>周口市</w:t>
      </w:r>
      <w:r>
        <w:rPr>
          <w:rFonts w:hint="eastAsia" w:ascii="楷体" w:hAnsi="楷体" w:eastAsia="楷体" w:cs="楷体"/>
          <w:color w:val="auto"/>
          <w:sz w:val="24"/>
          <w:highlight w:val="none"/>
          <w:lang w:eastAsia="zh-CN"/>
        </w:rPr>
        <w:t>中心医院</w:t>
      </w:r>
    </w:p>
    <w:p>
      <w:pPr>
        <w:pageBreakBefore w:val="0"/>
        <w:kinsoku/>
        <w:wordWrap/>
        <w:overflowPunct/>
        <w:topLinePunct w:val="0"/>
        <w:bidi w:val="0"/>
        <w:snapToGrid w:val="0"/>
        <w:spacing w:line="560" w:lineRule="exact"/>
        <w:ind w:firstLine="480" w:firstLineChars="200"/>
        <w:rPr>
          <w:rFonts w:hint="default" w:ascii="楷体" w:hAnsi="楷体" w:eastAsia="楷体" w:cs="楷体"/>
          <w:color w:val="auto"/>
          <w:sz w:val="24"/>
          <w:highlight w:val="none"/>
          <w:lang w:val="en-US" w:eastAsia="zh-CN"/>
        </w:rPr>
      </w:pPr>
      <w:r>
        <w:rPr>
          <w:rFonts w:hint="eastAsia" w:ascii="楷体" w:hAnsi="楷体" w:eastAsia="楷体" w:cs="楷体"/>
          <w:color w:val="auto"/>
          <w:sz w:val="24"/>
          <w:highlight w:val="none"/>
          <w:lang w:eastAsia="zh-CN"/>
        </w:rPr>
        <w:t>1.3预算价</w:t>
      </w:r>
      <w:r>
        <w:rPr>
          <w:rFonts w:hint="eastAsia" w:ascii="楷体" w:hAnsi="楷体" w:eastAsia="楷体" w:cs="楷体"/>
          <w:color w:val="auto"/>
          <w:sz w:val="24"/>
          <w:highlight w:val="none"/>
          <w:lang w:val="en-US" w:eastAsia="zh-CN"/>
        </w:rPr>
        <w:t xml:space="preserve">  49.8万元</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1.4采购项目资金落实情况：</w:t>
      </w:r>
      <w:r>
        <w:rPr>
          <w:rFonts w:hint="eastAsia" w:ascii="楷体" w:hAnsi="楷体" w:eastAsia="楷体" w:cs="楷体"/>
          <w:color w:val="auto"/>
          <w:sz w:val="24"/>
          <w:highlight w:val="none"/>
          <w:lang w:val="en-US" w:eastAsia="zh-CN"/>
        </w:rPr>
        <w:t>已落实</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rPr>
        <w:t>1.5采购项目概况：</w:t>
      </w:r>
      <w:r>
        <w:rPr>
          <w:rFonts w:hint="eastAsia" w:ascii="楷体" w:hAnsi="楷体" w:eastAsia="楷体" w:cs="楷体"/>
          <w:color w:val="auto"/>
          <w:sz w:val="24"/>
          <w:highlight w:val="none"/>
          <w:lang w:val="en-US" w:eastAsia="zh-Hans"/>
        </w:rPr>
        <w:t>根据中共中央办公厅印发《关于加强公立医院党的建设工作的意见》</w:t>
      </w:r>
      <w:r>
        <w:rPr>
          <w:rFonts w:hint="eastAsia" w:ascii="楷体" w:hAnsi="楷体" w:eastAsia="楷体" w:cs="楷体"/>
          <w:color w:val="auto"/>
          <w:sz w:val="24"/>
          <w:highlight w:val="none"/>
          <w:lang w:val="en-US" w:eastAsia="zh-CN"/>
        </w:rPr>
        <w:t>、《河南省清廉医院建设实施方案》等文件精神要求，进一步加强行风建设信息化管理</w:t>
      </w:r>
      <w:r>
        <w:rPr>
          <w:rFonts w:hint="eastAsia" w:ascii="楷体" w:hAnsi="楷体" w:eastAsia="楷体" w:cs="楷体"/>
          <w:color w:val="auto"/>
          <w:sz w:val="24"/>
          <w:highlight w:val="none"/>
          <w:lang w:val="en-US" w:eastAsia="zh-Hans"/>
        </w:rPr>
        <w:t>。</w:t>
      </w:r>
      <w:r>
        <w:rPr>
          <w:rFonts w:hint="eastAsia" w:ascii="楷体" w:hAnsi="楷体" w:eastAsia="楷体" w:cs="楷体"/>
          <w:color w:val="auto"/>
          <w:sz w:val="24"/>
          <w:highlight w:val="none"/>
          <w:lang w:val="en-US" w:eastAsia="zh-CN"/>
        </w:rPr>
        <w:t>重点对医院纪检监察监督体系依托信息化进行智慧管理、创新性管理、科学化管理、精细化管理</w:t>
      </w:r>
      <w:r>
        <w:rPr>
          <w:rFonts w:hint="eastAsia" w:ascii="楷体" w:hAnsi="楷体" w:eastAsia="楷体" w:cs="楷体"/>
          <w:color w:val="auto"/>
          <w:sz w:val="24"/>
          <w:highlight w:val="none"/>
          <w:lang w:val="en-US" w:eastAsia="zh-Hans"/>
        </w:rPr>
        <w:t>。</w:t>
      </w:r>
      <w:r>
        <w:rPr>
          <w:rFonts w:hint="eastAsia" w:ascii="楷体" w:hAnsi="楷体" w:eastAsia="楷体" w:cs="楷体"/>
          <w:color w:val="auto"/>
          <w:sz w:val="24"/>
          <w:highlight w:val="none"/>
          <w:lang w:val="en-US" w:eastAsia="zh-CN"/>
        </w:rPr>
        <w:t>促使医院采购和医疗服务中的不正之风得到有效治理，医疗服务行为规范有序，权力运行阳光高效</w:t>
      </w:r>
      <w:r>
        <w:rPr>
          <w:rFonts w:hint="eastAsia" w:ascii="楷体" w:hAnsi="楷体" w:eastAsia="楷体" w:cs="楷体"/>
          <w:color w:val="auto"/>
          <w:sz w:val="24"/>
          <w:highlight w:val="none"/>
          <w:lang w:val="en-US" w:eastAsia="zh-Hans"/>
        </w:rPr>
        <w:t>。</w:t>
      </w:r>
      <w:r>
        <w:rPr>
          <w:rFonts w:hint="eastAsia" w:ascii="楷体" w:hAnsi="楷体" w:eastAsia="楷体" w:cs="楷体"/>
          <w:color w:val="auto"/>
          <w:sz w:val="24"/>
          <w:highlight w:val="none"/>
          <w:lang w:val="en-US" w:eastAsia="zh-CN"/>
        </w:rPr>
        <w:t>坚持标本兼治、源头治理，坚持系统施策、综合监管</w:t>
      </w:r>
      <w:r>
        <w:rPr>
          <w:rFonts w:hint="eastAsia" w:ascii="楷体" w:hAnsi="楷体" w:eastAsia="楷体" w:cs="楷体"/>
          <w:color w:val="auto"/>
          <w:sz w:val="24"/>
          <w:highlight w:val="none"/>
          <w:lang w:val="en-US" w:eastAsia="zh-Hans"/>
        </w:rPr>
        <w:t>。</w:t>
      </w:r>
      <w:r>
        <w:rPr>
          <w:rFonts w:hint="eastAsia" w:ascii="楷体" w:hAnsi="楷体" w:eastAsia="楷体" w:cs="楷体"/>
          <w:color w:val="auto"/>
          <w:sz w:val="24"/>
          <w:highlight w:val="none"/>
          <w:lang w:val="en-US" w:eastAsia="zh-CN"/>
        </w:rPr>
        <w:t>以人民群众反映强烈的问题为切入点，以坚决查处违纪行为和情节严重、影响恶劣的典型案例为重点，纠建并举，标本兼治，持续纠治不正之风</w:t>
      </w:r>
      <w:r>
        <w:rPr>
          <w:rFonts w:hint="eastAsia" w:ascii="楷体" w:hAnsi="楷体" w:eastAsia="楷体" w:cs="楷体"/>
          <w:color w:val="auto"/>
          <w:sz w:val="24"/>
          <w:highlight w:val="none"/>
          <w:lang w:val="en-US" w:eastAsia="zh-Hans"/>
        </w:rPr>
        <w:t>。</w:t>
      </w:r>
      <w:r>
        <w:rPr>
          <w:rFonts w:hint="eastAsia" w:ascii="楷体" w:hAnsi="楷体" w:eastAsia="楷体" w:cs="楷体"/>
          <w:color w:val="auto"/>
          <w:sz w:val="24"/>
          <w:highlight w:val="none"/>
          <w:lang w:val="en-US" w:eastAsia="zh-CN"/>
        </w:rPr>
        <w:t>不断提升患者就医体验，增强群众获得感，推动医院行风工作不断取得新成效，保障医疗卫生事业高质量发展。</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7" w:name="_Toc32407"/>
      <w:bookmarkStart w:id="8" w:name="_Toc16903"/>
      <w:bookmarkStart w:id="9" w:name="_Toc53945639"/>
      <w:r>
        <w:rPr>
          <w:rFonts w:hint="eastAsia" w:ascii="楷体" w:hAnsi="楷体" w:eastAsia="楷体" w:cs="楷体"/>
          <w:color w:val="auto"/>
          <w:highlight w:val="none"/>
        </w:rPr>
        <w:t>2采购范围及相关要求</w:t>
      </w:r>
      <w:bookmarkEnd w:id="7"/>
      <w:bookmarkEnd w:id="8"/>
      <w:bookmarkEnd w:id="9"/>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eastAsia="zh-CN"/>
        </w:rPr>
      </w:pPr>
      <w:bookmarkStart w:id="10" w:name="_Toc23114"/>
      <w:bookmarkStart w:id="11" w:name="_Toc4047"/>
      <w:r>
        <w:rPr>
          <w:rFonts w:hint="eastAsia" w:ascii="楷体" w:hAnsi="楷体" w:eastAsia="楷体" w:cs="楷体"/>
          <w:color w:val="auto"/>
          <w:sz w:val="24"/>
          <w:highlight w:val="none"/>
        </w:rPr>
        <w:t>2.1采购范围：</w:t>
      </w:r>
      <w:bookmarkEnd w:id="10"/>
      <w:bookmarkEnd w:id="11"/>
      <w:r>
        <w:rPr>
          <w:rFonts w:hint="eastAsia" w:ascii="楷体" w:hAnsi="楷体" w:eastAsia="楷体" w:cs="楷体"/>
          <w:color w:val="auto"/>
          <w:sz w:val="24"/>
          <w:highlight w:val="none"/>
          <w:lang w:eastAsia="zh-CN"/>
        </w:rPr>
        <w:t>采购智慧监督平台。</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bookmarkStart w:id="12" w:name="_Toc23963"/>
      <w:bookmarkStart w:id="13" w:name="_Toc7309"/>
      <w:r>
        <w:rPr>
          <w:rFonts w:hint="eastAsia" w:ascii="楷体" w:hAnsi="楷体" w:eastAsia="楷体" w:cs="楷体"/>
          <w:color w:val="auto"/>
          <w:sz w:val="24"/>
          <w:highlight w:val="none"/>
        </w:rPr>
        <w:t>2.2</w:t>
      </w:r>
      <w:r>
        <w:rPr>
          <w:rFonts w:hint="eastAsia" w:ascii="楷体" w:hAnsi="楷体" w:eastAsia="楷体" w:cs="楷体"/>
          <w:color w:val="auto"/>
          <w:sz w:val="24"/>
          <w:highlight w:val="none"/>
          <w:lang w:eastAsia="zh-CN"/>
        </w:rPr>
        <w:t>完成时限</w:t>
      </w:r>
      <w:r>
        <w:rPr>
          <w:rFonts w:hint="eastAsia" w:ascii="楷体" w:hAnsi="楷体" w:eastAsia="楷体" w:cs="楷体"/>
          <w:color w:val="auto"/>
          <w:sz w:val="24"/>
          <w:highlight w:val="none"/>
        </w:rPr>
        <w:t>：</w:t>
      </w:r>
      <w:bookmarkEnd w:id="12"/>
      <w:bookmarkEnd w:id="13"/>
      <w:r>
        <w:rPr>
          <w:rFonts w:hint="eastAsia" w:ascii="楷体" w:hAnsi="楷体" w:eastAsia="楷体" w:cs="楷体"/>
          <w:color w:val="auto"/>
          <w:sz w:val="24"/>
          <w:highlight w:val="none"/>
        </w:rPr>
        <w:t>合同签订后</w:t>
      </w:r>
      <w:r>
        <w:rPr>
          <w:rFonts w:hint="default" w:ascii="楷体" w:hAnsi="楷体" w:eastAsia="楷体" w:cs="楷体"/>
          <w:color w:val="auto"/>
          <w:sz w:val="24"/>
          <w:highlight w:val="none"/>
        </w:rPr>
        <w:t>6</w:t>
      </w:r>
      <w:r>
        <w:rPr>
          <w:rFonts w:hint="eastAsia" w:ascii="楷体" w:hAnsi="楷体" w:eastAsia="楷体" w:cs="楷体"/>
          <w:color w:val="auto"/>
          <w:sz w:val="24"/>
          <w:highlight w:val="none"/>
        </w:rPr>
        <w:t>0 个日历日内完成本项目全部建设工作</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u w:val="none"/>
          <w:lang w:val="en-US" w:eastAsia="zh-CN"/>
        </w:rPr>
        <w:t xml:space="preserve">  </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bookmarkStart w:id="14" w:name="_Toc24391"/>
      <w:bookmarkStart w:id="15" w:name="_Toc8341"/>
      <w:r>
        <w:rPr>
          <w:rFonts w:hint="eastAsia" w:ascii="楷体" w:hAnsi="楷体" w:eastAsia="楷体" w:cs="楷体"/>
          <w:color w:val="auto"/>
          <w:sz w:val="24"/>
          <w:highlight w:val="none"/>
        </w:rPr>
        <w:t>2.3</w:t>
      </w:r>
      <w:r>
        <w:rPr>
          <w:rFonts w:hint="eastAsia" w:ascii="楷体" w:hAnsi="楷体" w:eastAsia="楷体" w:cs="楷体"/>
          <w:color w:val="auto"/>
          <w:sz w:val="24"/>
          <w:highlight w:val="none"/>
          <w:lang w:eastAsia="zh-CN"/>
        </w:rPr>
        <w:t>实施</w:t>
      </w:r>
      <w:r>
        <w:rPr>
          <w:rFonts w:hint="eastAsia" w:ascii="楷体" w:hAnsi="楷体" w:eastAsia="楷体" w:cs="楷体"/>
          <w:color w:val="auto"/>
          <w:sz w:val="24"/>
          <w:highlight w:val="none"/>
        </w:rPr>
        <w:t>地点：</w:t>
      </w:r>
      <w:r>
        <w:rPr>
          <w:rFonts w:hint="default" w:ascii="楷体" w:hAnsi="楷体" w:eastAsia="楷体" w:cs="楷体"/>
          <w:color w:val="auto"/>
          <w:sz w:val="24"/>
          <w:highlight w:val="none"/>
          <w:lang w:eastAsia="zh-CN"/>
        </w:rPr>
        <w:t>周口市</w:t>
      </w:r>
      <w:r>
        <w:rPr>
          <w:rFonts w:hint="eastAsia" w:ascii="楷体" w:hAnsi="楷体" w:eastAsia="楷体" w:cs="楷体"/>
          <w:color w:val="auto"/>
          <w:sz w:val="24"/>
          <w:highlight w:val="none"/>
          <w:lang w:eastAsia="zh-CN"/>
        </w:rPr>
        <w:t>中心医院</w:t>
      </w:r>
      <w:r>
        <w:rPr>
          <w:rFonts w:hint="eastAsia" w:ascii="楷体" w:hAnsi="楷体" w:eastAsia="楷体" w:cs="楷体"/>
          <w:color w:val="auto"/>
          <w:sz w:val="24"/>
          <w:highlight w:val="none"/>
          <w:lang w:val="en-US" w:eastAsia="zh-CN"/>
        </w:rPr>
        <w:t>院内，采购人指定地点</w:t>
      </w:r>
      <w:bookmarkEnd w:id="14"/>
      <w:bookmarkEnd w:id="15"/>
      <w:r>
        <w:rPr>
          <w:rFonts w:hint="eastAsia" w:ascii="楷体" w:hAnsi="楷体" w:eastAsia="楷体" w:cs="楷体"/>
          <w:color w:val="auto"/>
          <w:sz w:val="24"/>
          <w:highlight w:val="none"/>
          <w:lang w:val="en-US" w:eastAsia="zh-CN"/>
        </w:rPr>
        <w:t>。</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bookmarkStart w:id="16" w:name="_Toc4962"/>
      <w:bookmarkStart w:id="17" w:name="_Toc10137"/>
      <w:r>
        <w:rPr>
          <w:rFonts w:hint="eastAsia" w:ascii="楷体" w:hAnsi="楷体" w:eastAsia="楷体" w:cs="楷体"/>
          <w:color w:val="auto"/>
          <w:sz w:val="24"/>
          <w:highlight w:val="none"/>
        </w:rPr>
        <w:t>2.4质量</w:t>
      </w:r>
      <w:r>
        <w:rPr>
          <w:rFonts w:hint="eastAsia" w:ascii="楷体" w:hAnsi="楷体" w:eastAsia="楷体" w:cs="楷体"/>
          <w:color w:val="auto"/>
          <w:sz w:val="24"/>
          <w:highlight w:val="none"/>
          <w:lang w:val="en-US" w:eastAsia="zh-CN"/>
        </w:rPr>
        <w:t>要求</w:t>
      </w:r>
      <w:r>
        <w:rPr>
          <w:rFonts w:hint="eastAsia" w:ascii="楷体" w:hAnsi="楷体" w:eastAsia="楷体" w:cs="楷体"/>
          <w:color w:val="auto"/>
          <w:sz w:val="24"/>
          <w:highlight w:val="none"/>
        </w:rPr>
        <w:t>：</w:t>
      </w:r>
      <w:bookmarkEnd w:id="16"/>
      <w:bookmarkEnd w:id="17"/>
      <w:r>
        <w:rPr>
          <w:rFonts w:hint="eastAsia" w:ascii="楷体" w:hAnsi="楷体" w:eastAsia="楷体" w:cs="楷体"/>
          <w:color w:val="auto"/>
          <w:sz w:val="24"/>
          <w:highlight w:val="none"/>
        </w:rPr>
        <w:t>符合中华人民共和国现行规定合格标准，并达到采购人实施要求</w:t>
      </w:r>
      <w:r>
        <w:rPr>
          <w:rFonts w:hint="eastAsia" w:ascii="楷体" w:hAnsi="楷体" w:eastAsia="楷体" w:cs="楷体"/>
          <w:color w:val="auto"/>
          <w:sz w:val="24"/>
          <w:highlight w:val="none"/>
          <w:lang w:val="en-US" w:eastAsia="zh-CN"/>
        </w:rPr>
        <w:t>。</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18" w:name="_Toc22036"/>
      <w:bookmarkStart w:id="19" w:name="_Toc1341"/>
      <w:bookmarkStart w:id="20" w:name="_Toc53945640"/>
      <w:r>
        <w:rPr>
          <w:rFonts w:hint="eastAsia" w:ascii="楷体" w:hAnsi="楷体" w:eastAsia="楷体" w:cs="楷体"/>
          <w:color w:val="auto"/>
          <w:highlight w:val="none"/>
        </w:rPr>
        <w:t>3供应商资格要求</w:t>
      </w:r>
      <w:bookmarkEnd w:id="18"/>
      <w:bookmarkEnd w:id="19"/>
      <w:bookmarkEnd w:id="20"/>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bookmarkStart w:id="21" w:name="_Toc3102"/>
      <w:bookmarkStart w:id="22" w:name="_Toc18578"/>
      <w:r>
        <w:rPr>
          <w:rFonts w:hint="eastAsia" w:ascii="楷体" w:hAnsi="楷体" w:eastAsia="楷体" w:cs="楷体"/>
          <w:color w:val="auto"/>
          <w:sz w:val="24"/>
          <w:highlight w:val="none"/>
          <w:lang w:val="en-US" w:eastAsia="zh-CN"/>
        </w:rPr>
        <w:t>3.1 供应商应依法设立且满足如下要求：</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1）供应商应是在中华人民共和国境内注册，具备独立承担民事责任的能力。</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供应商未被“信用中国”网站列入“失信被执行人名单”</w:t>
      </w:r>
      <w:r>
        <w:rPr>
          <w:rFonts w:hint="eastAsia" w:ascii="楷体" w:hAnsi="楷体" w:eastAsia="楷体" w:cs="楷体"/>
          <w:color w:val="auto"/>
          <w:sz w:val="24"/>
          <w:highlight w:val="none"/>
          <w:lang w:val="en-US" w:eastAsia="zh-CN"/>
        </w:rPr>
        <w:t>或</w:t>
      </w:r>
      <w:r>
        <w:rPr>
          <w:rFonts w:hint="eastAsia" w:ascii="楷体" w:hAnsi="楷体" w:eastAsia="楷体" w:cs="楷体"/>
          <w:color w:val="auto"/>
          <w:sz w:val="24"/>
          <w:highlight w:val="none"/>
        </w:rPr>
        <w:t>未被“中国政府采购网”列入“政府采购严重违法失信行为记录名单”。</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3.2供应商不得存在下列情形之一：</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1）处于被责令停产停业、暂扣或者吊销执照、暂扣或者吊销许可证、吊销资质证书状态；</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2）进入清算程序，或被宣告破产，或其他丧失履约能力的情形；</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3）单位负责人为同一人或者存在直接控股、管理关系的不同供应商，参加同一合同项下的采购活动；</w:t>
      </w:r>
    </w:p>
    <w:p>
      <w:pPr>
        <w:pageBreakBefore w:val="0"/>
        <w:kinsoku/>
        <w:wordWrap/>
        <w:overflowPunct/>
        <w:topLinePunct w:val="0"/>
        <w:bidi w:val="0"/>
        <w:snapToGrid w:val="0"/>
        <w:spacing w:line="560" w:lineRule="exact"/>
        <w:ind w:firstLine="480" w:firstLineChars="200"/>
        <w:outlineLvl w:val="1"/>
        <w:rPr>
          <w:rFonts w:hint="default"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4）在与采购人存在利害关系可能影响招标公正性的法人、其他组织或者个人参加采购。</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3.3本项目</w:t>
      </w:r>
      <w:r>
        <w:rPr>
          <w:rFonts w:hint="eastAsia" w:ascii="楷体" w:hAnsi="楷体" w:eastAsia="楷体" w:cs="楷体"/>
          <w:color w:val="auto"/>
          <w:sz w:val="24"/>
          <w:highlight w:val="none"/>
          <w:u w:val="single"/>
          <w:lang w:val="en-US" w:eastAsia="zh-CN"/>
        </w:rPr>
        <w:t>不接受</w:t>
      </w:r>
      <w:r>
        <w:rPr>
          <w:rFonts w:hint="eastAsia" w:ascii="楷体" w:hAnsi="楷体" w:eastAsia="楷体" w:cs="楷体"/>
          <w:color w:val="auto"/>
          <w:sz w:val="24"/>
          <w:highlight w:val="none"/>
          <w:lang w:val="en-US" w:eastAsia="zh-CN"/>
        </w:rPr>
        <w:t>联合体申请。</w:t>
      </w:r>
      <w:r>
        <w:rPr>
          <w:rFonts w:hint="eastAsia" w:ascii="楷体" w:hAnsi="楷体" w:eastAsia="楷体" w:cs="楷体"/>
          <w:color w:val="auto"/>
          <w:sz w:val="24"/>
          <w:highlight w:val="none"/>
        </w:rPr>
        <w:t> </w:t>
      </w:r>
      <w:bookmarkEnd w:id="21"/>
      <w:bookmarkEnd w:id="22"/>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23" w:name="_Toc15169"/>
      <w:bookmarkStart w:id="24" w:name="_Toc53945642"/>
      <w:bookmarkStart w:id="25" w:name="_Toc9301"/>
      <w:r>
        <w:rPr>
          <w:rFonts w:hint="eastAsia" w:ascii="楷体" w:hAnsi="楷体" w:eastAsia="楷体" w:cs="楷体"/>
          <w:color w:val="auto"/>
          <w:highlight w:val="none"/>
          <w:lang w:val="en-US" w:eastAsia="zh-CN"/>
        </w:rPr>
        <w:t>4</w:t>
      </w:r>
      <w:r>
        <w:rPr>
          <w:rFonts w:hint="eastAsia" w:ascii="楷体" w:hAnsi="楷体" w:eastAsia="楷体" w:cs="楷体"/>
          <w:color w:val="auto"/>
          <w:highlight w:val="none"/>
        </w:rPr>
        <w:t>响应文件的递交</w:t>
      </w:r>
      <w:bookmarkEnd w:id="23"/>
      <w:bookmarkEnd w:id="24"/>
      <w:bookmarkEnd w:id="25"/>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.1 响应文件递交的截止时间</w:t>
      </w:r>
      <w:r>
        <w:rPr>
          <w:rFonts w:hint="eastAsia" w:ascii="楷体" w:hAnsi="楷体" w:eastAsia="楷体" w:cs="楷体"/>
          <w:color w:val="auto"/>
          <w:sz w:val="24"/>
          <w:highlight w:val="none"/>
          <w:lang w:eastAsia="zh-CN"/>
        </w:rPr>
        <w:t>、地点见公示。</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.2逾期送达的、未送达指定地点的或未密封的响应文件，采购人将拒绝接收。</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26" w:name="_Toc17867"/>
      <w:bookmarkStart w:id="27" w:name="_Toc11293"/>
      <w:bookmarkStart w:id="28" w:name="_Toc53945643"/>
      <w:r>
        <w:rPr>
          <w:rFonts w:hint="eastAsia" w:ascii="楷体" w:hAnsi="楷体" w:eastAsia="楷体" w:cs="楷体"/>
          <w:color w:val="auto"/>
          <w:highlight w:val="none"/>
          <w:lang w:val="en-US" w:eastAsia="zh-CN"/>
        </w:rPr>
        <w:t>5</w:t>
      </w:r>
      <w:r>
        <w:rPr>
          <w:rFonts w:hint="eastAsia" w:ascii="楷体" w:hAnsi="楷体" w:eastAsia="楷体" w:cs="楷体"/>
          <w:color w:val="auto"/>
          <w:highlight w:val="none"/>
        </w:rPr>
        <w:t>响应文件开启时间和地点</w:t>
      </w:r>
      <w:bookmarkEnd w:id="26"/>
      <w:bookmarkEnd w:id="27"/>
      <w:bookmarkEnd w:id="28"/>
    </w:p>
    <w:p>
      <w:pPr>
        <w:rPr>
          <w:rFonts w:hint="default" w:eastAsia="楷体"/>
          <w:lang w:val="en-US" w:eastAsia="zh-CN"/>
        </w:rPr>
      </w:pPr>
      <w:r>
        <w:rPr>
          <w:rFonts w:hint="eastAsia" w:ascii="楷体" w:hAnsi="楷体" w:eastAsia="楷体" w:cs="楷体"/>
          <w:color w:val="auto"/>
          <w:highlight w:val="none"/>
          <w:lang w:val="en-US" w:eastAsia="zh-CN"/>
        </w:rPr>
        <w:t xml:space="preserve">    另行通知。</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29" w:name="_Toc30857"/>
      <w:bookmarkStart w:id="30" w:name="_Toc11851"/>
      <w:bookmarkStart w:id="31" w:name="_Toc53945644"/>
      <w:r>
        <w:rPr>
          <w:rFonts w:hint="eastAsia" w:ascii="楷体" w:hAnsi="楷体" w:eastAsia="楷体" w:cs="楷体"/>
          <w:color w:val="auto"/>
          <w:highlight w:val="none"/>
          <w:lang w:val="en-US" w:eastAsia="zh-CN"/>
        </w:rPr>
        <w:t>6</w:t>
      </w:r>
      <w:r>
        <w:rPr>
          <w:rFonts w:hint="eastAsia" w:ascii="楷体" w:hAnsi="楷体" w:eastAsia="楷体" w:cs="楷体"/>
          <w:color w:val="auto"/>
          <w:highlight w:val="none"/>
        </w:rPr>
        <w:t>发布公告的媒介</w:t>
      </w:r>
      <w:bookmarkEnd w:id="29"/>
      <w:bookmarkEnd w:id="30"/>
      <w:bookmarkEnd w:id="31"/>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本</w:t>
      </w:r>
      <w:r>
        <w:rPr>
          <w:rFonts w:hint="eastAsia" w:ascii="楷体" w:hAnsi="楷体" w:eastAsia="楷体" w:cs="楷体"/>
          <w:color w:val="auto"/>
          <w:sz w:val="24"/>
          <w:highlight w:val="none"/>
          <w:lang w:eastAsia="zh-CN"/>
        </w:rPr>
        <w:t>竞争性谈判</w:t>
      </w:r>
      <w:r>
        <w:rPr>
          <w:rFonts w:hint="eastAsia" w:ascii="楷体" w:hAnsi="楷体" w:eastAsia="楷体" w:cs="楷体"/>
          <w:color w:val="auto"/>
          <w:sz w:val="24"/>
          <w:highlight w:val="none"/>
        </w:rPr>
        <w:t>采购公告在</w:t>
      </w:r>
      <w:r>
        <w:rPr>
          <w:rFonts w:hint="eastAsia" w:ascii="楷体" w:hAnsi="楷体" w:eastAsia="楷体" w:cs="楷体"/>
          <w:color w:val="auto"/>
          <w:sz w:val="24"/>
          <w:highlight w:val="none"/>
          <w:lang w:val="en-US" w:eastAsia="zh-Hans"/>
        </w:rPr>
        <w:t>医院官网</w:t>
      </w:r>
      <w:r>
        <w:rPr>
          <w:rFonts w:hint="eastAsia" w:ascii="楷体" w:hAnsi="楷体" w:eastAsia="楷体" w:cs="楷体"/>
          <w:color w:val="auto"/>
          <w:sz w:val="24"/>
          <w:highlight w:val="none"/>
        </w:rPr>
        <w:t>上发布。</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32" w:name="_Toc53945646"/>
      <w:bookmarkStart w:id="33" w:name="_Toc29589"/>
      <w:bookmarkStart w:id="34" w:name="_Toc12281"/>
      <w:r>
        <w:rPr>
          <w:rFonts w:hint="eastAsia" w:ascii="楷体" w:hAnsi="楷体" w:eastAsia="楷体" w:cs="楷体"/>
          <w:color w:val="auto"/>
          <w:highlight w:val="none"/>
          <w:lang w:val="en-US" w:eastAsia="zh-CN"/>
        </w:rPr>
        <w:t>7</w:t>
      </w:r>
      <w:r>
        <w:rPr>
          <w:rFonts w:hint="eastAsia" w:ascii="楷体" w:hAnsi="楷体" w:eastAsia="楷体" w:cs="楷体"/>
          <w:color w:val="auto"/>
          <w:highlight w:val="none"/>
        </w:rPr>
        <w:t>联系方式</w:t>
      </w:r>
      <w:bookmarkEnd w:id="32"/>
      <w:bookmarkEnd w:id="33"/>
      <w:bookmarkEnd w:id="34"/>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u w:val="none"/>
        </w:rPr>
      </w:pPr>
      <w:r>
        <w:rPr>
          <w:rFonts w:hint="eastAsia" w:ascii="楷体" w:hAnsi="楷体" w:eastAsia="楷体" w:cs="楷体"/>
          <w:color w:val="auto"/>
          <w:sz w:val="24"/>
          <w:highlight w:val="none"/>
          <w:u w:val="none"/>
        </w:rPr>
        <w:t>采 购 人：</w:t>
      </w:r>
      <w:r>
        <w:rPr>
          <w:rFonts w:hint="default" w:ascii="楷体" w:hAnsi="楷体" w:eastAsia="楷体" w:cs="楷体"/>
          <w:color w:val="auto"/>
          <w:sz w:val="24"/>
          <w:highlight w:val="none"/>
          <w:u w:val="none"/>
          <w:lang w:eastAsia="zh-CN"/>
        </w:rPr>
        <w:t>周口市</w:t>
      </w:r>
      <w:r>
        <w:rPr>
          <w:rFonts w:hint="eastAsia" w:ascii="楷体" w:hAnsi="楷体" w:eastAsia="楷体" w:cs="楷体"/>
          <w:color w:val="auto"/>
          <w:sz w:val="24"/>
          <w:highlight w:val="none"/>
          <w:u w:val="none"/>
          <w:lang w:eastAsia="zh-CN"/>
        </w:rPr>
        <w:t>中心医院</w:t>
      </w:r>
      <w:r>
        <w:rPr>
          <w:rFonts w:hint="eastAsia" w:ascii="楷体" w:hAnsi="楷体" w:eastAsia="楷体" w:cs="楷体"/>
          <w:color w:val="auto"/>
          <w:sz w:val="24"/>
          <w:highlight w:val="none"/>
          <w:u w:val="none"/>
        </w:rPr>
        <w:t xml:space="preserve">  </w:t>
      </w:r>
    </w:p>
    <w:p>
      <w:pPr>
        <w:pageBreakBefore w:val="0"/>
        <w:kinsoku/>
        <w:wordWrap/>
        <w:overflowPunct/>
        <w:topLinePunct w:val="0"/>
        <w:bidi w:val="0"/>
        <w:snapToGrid w:val="0"/>
        <w:spacing w:line="560" w:lineRule="exact"/>
        <w:ind w:firstLine="480" w:firstLineChars="200"/>
        <w:rPr>
          <w:rFonts w:hint="default" w:ascii="楷体" w:hAnsi="楷体" w:eastAsia="楷体" w:cs="楷体"/>
          <w:color w:val="auto"/>
          <w:sz w:val="24"/>
          <w:highlight w:val="none"/>
          <w:u w:val="none"/>
        </w:rPr>
      </w:pPr>
      <w:r>
        <w:rPr>
          <w:rFonts w:hint="eastAsia" w:ascii="楷体" w:hAnsi="楷体" w:eastAsia="楷体" w:cs="楷体"/>
          <w:color w:val="auto"/>
          <w:sz w:val="24"/>
          <w:highlight w:val="none"/>
          <w:u w:val="none"/>
        </w:rPr>
        <w:t>地    址：</w:t>
      </w:r>
      <w:r>
        <w:rPr>
          <w:rFonts w:hint="default" w:ascii="楷体" w:hAnsi="楷体" w:eastAsia="楷体" w:cs="楷体"/>
          <w:color w:val="auto"/>
          <w:sz w:val="24"/>
          <w:highlight w:val="none"/>
          <w:u w:val="none"/>
        </w:rPr>
        <w:t>周口市人民路东段</w:t>
      </w:r>
    </w:p>
    <w:p>
      <w:pPr>
        <w:pageBreakBefore w:val="0"/>
        <w:kinsoku/>
        <w:wordWrap/>
        <w:overflowPunct/>
        <w:topLinePunct w:val="0"/>
        <w:bidi w:val="0"/>
        <w:snapToGrid w:val="0"/>
        <w:spacing w:line="560" w:lineRule="exact"/>
        <w:ind w:firstLine="480" w:firstLineChars="200"/>
        <w:rPr>
          <w:rFonts w:hint="default" w:ascii="楷体" w:hAnsi="楷体" w:eastAsia="楷体" w:cs="楷体"/>
          <w:color w:val="auto"/>
          <w:sz w:val="24"/>
          <w:highlight w:val="none"/>
          <w:u w:val="none"/>
          <w:lang w:eastAsia="zh-CN"/>
        </w:rPr>
      </w:pPr>
      <w:r>
        <w:rPr>
          <w:rFonts w:hint="eastAsia" w:ascii="楷体" w:hAnsi="楷体" w:eastAsia="楷体" w:cs="楷体"/>
          <w:color w:val="auto"/>
          <w:sz w:val="24"/>
          <w:highlight w:val="none"/>
          <w:u w:val="none"/>
        </w:rPr>
        <w:t>邮政编码：</w:t>
      </w:r>
      <w:r>
        <w:rPr>
          <w:rFonts w:hint="default" w:ascii="楷体" w:hAnsi="楷体" w:eastAsia="楷体" w:cs="楷体"/>
          <w:color w:val="auto"/>
          <w:sz w:val="24"/>
          <w:highlight w:val="none"/>
          <w:u w:val="none"/>
          <w:lang w:eastAsia="zh-CN"/>
        </w:rPr>
        <w:t>466000</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u w:val="none"/>
          <w:lang w:eastAsia="zh-CN"/>
        </w:rPr>
      </w:pPr>
      <w:r>
        <w:rPr>
          <w:rFonts w:hint="eastAsia" w:ascii="楷体" w:hAnsi="楷体" w:eastAsia="楷体" w:cs="楷体"/>
          <w:color w:val="auto"/>
          <w:sz w:val="24"/>
          <w:highlight w:val="none"/>
          <w:u w:val="none"/>
          <w:lang w:eastAsia="zh-CN"/>
        </w:rPr>
        <w:t>联 系 人：李老师</w:t>
      </w:r>
    </w:p>
    <w:p>
      <w:pPr>
        <w:pageBreakBefore w:val="0"/>
        <w:kinsoku/>
        <w:wordWrap/>
        <w:overflowPunct/>
        <w:topLinePunct w:val="0"/>
        <w:bidi w:val="0"/>
        <w:snapToGrid w:val="0"/>
        <w:spacing w:line="560" w:lineRule="exact"/>
        <w:ind w:firstLine="480" w:firstLineChars="200"/>
        <w:rPr>
          <w:rFonts w:hint="default" w:ascii="楷体" w:hAnsi="楷体" w:eastAsia="楷体" w:cs="楷体"/>
          <w:color w:val="auto"/>
          <w:sz w:val="24"/>
          <w:highlight w:val="none"/>
          <w:u w:val="none"/>
          <w:lang w:val="en-US" w:eastAsia="zh-CN"/>
        </w:rPr>
      </w:pPr>
      <w:r>
        <w:rPr>
          <w:rFonts w:hint="eastAsia" w:ascii="楷体" w:hAnsi="楷体" w:eastAsia="楷体" w:cs="楷体"/>
          <w:color w:val="auto"/>
          <w:sz w:val="24"/>
          <w:highlight w:val="none"/>
          <w:u w:val="none"/>
          <w:lang w:eastAsia="zh-CN"/>
        </w:rPr>
        <w:t>电    话：</w:t>
      </w:r>
      <w:r>
        <w:rPr>
          <w:rFonts w:hint="eastAsia" w:ascii="楷体" w:hAnsi="楷体" w:eastAsia="楷体" w:cs="楷体"/>
          <w:color w:val="auto"/>
          <w:sz w:val="24"/>
          <w:highlight w:val="none"/>
          <w:u w:val="none"/>
          <w:lang w:val="en-US" w:eastAsia="zh-CN"/>
        </w:rPr>
        <w:t>0394-8269112</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u w:val="none"/>
          <w:lang w:eastAsia="zh-CN"/>
        </w:rPr>
        <w:t xml:space="preserve">                                </w:t>
      </w:r>
      <w:r>
        <w:rPr>
          <w:rFonts w:hint="eastAsia" w:ascii="楷体" w:hAnsi="楷体" w:eastAsia="楷体" w:cs="楷体"/>
          <w:color w:val="auto"/>
          <w:sz w:val="24"/>
          <w:highlight w:val="none"/>
        </w:rPr>
        <w:t xml:space="preserve"> </w:t>
      </w:r>
    </w:p>
    <w:p>
      <w:pPr>
        <w:pageBreakBefore w:val="0"/>
        <w:kinsoku/>
        <w:wordWrap/>
        <w:overflowPunct/>
        <w:topLinePunct w:val="0"/>
        <w:bidi w:val="0"/>
        <w:snapToGrid w:val="0"/>
        <w:spacing w:line="560" w:lineRule="exact"/>
        <w:rPr>
          <w:rFonts w:hint="eastAsia" w:ascii="楷体" w:hAnsi="楷体" w:eastAsia="楷体" w:cs="楷体"/>
          <w:color w:val="auto"/>
          <w:sz w:val="24"/>
          <w:highlight w:val="none"/>
          <w:u w:val="single"/>
        </w:rPr>
      </w:pPr>
    </w:p>
    <w:p>
      <w:pPr>
        <w:pageBreakBefore w:val="0"/>
        <w:kinsoku/>
        <w:wordWrap/>
        <w:overflowPunct/>
        <w:topLinePunct w:val="0"/>
        <w:bidi w:val="0"/>
        <w:snapToGrid w:val="0"/>
        <w:spacing w:line="560" w:lineRule="exact"/>
        <w:rPr>
          <w:rFonts w:hint="eastAsia" w:ascii="楷体" w:hAnsi="楷体" w:eastAsia="楷体" w:cs="楷体"/>
          <w:color w:val="auto"/>
          <w:highlight w:val="none"/>
          <w:lang w:val="en-US" w:eastAsia="zh-CN"/>
        </w:rPr>
      </w:pPr>
      <w:bookmarkStart w:id="35" w:name="_Toc53945647"/>
      <w:bookmarkStart w:id="36" w:name="_Toc5900"/>
      <w:bookmarkStart w:id="37" w:name="_Toc53945648"/>
      <w:r>
        <w:rPr>
          <w:rFonts w:hint="eastAsia" w:ascii="楷体" w:hAnsi="楷体" w:eastAsia="楷体" w:cs="楷体"/>
          <w:color w:val="auto"/>
          <w:highlight w:val="none"/>
          <w:lang w:val="en-US" w:eastAsia="zh-CN"/>
        </w:rPr>
        <w:br w:type="textWrapping"/>
      </w:r>
    </w:p>
    <w:p>
      <w:pPr>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br w:type="page"/>
      </w:r>
    </w:p>
    <w:p>
      <w:pPr>
        <w:pStyle w:val="29"/>
        <w:rPr>
          <w:rFonts w:hint="eastAsia" w:ascii="楷体" w:hAnsi="楷体" w:eastAsia="楷体" w:cs="楷体"/>
          <w:color w:val="auto"/>
          <w:highlight w:val="none"/>
          <w:lang w:val="en-US" w:eastAsia="zh-CN"/>
        </w:rPr>
      </w:pPr>
    </w:p>
    <w:p>
      <w:pPr>
        <w:pStyle w:val="4"/>
        <w:pageBreakBefore w:val="0"/>
        <w:kinsoku/>
        <w:wordWrap/>
        <w:overflowPunct/>
        <w:topLinePunct w:val="0"/>
        <w:bidi w:val="0"/>
        <w:snapToGrid w:val="0"/>
        <w:spacing w:before="156" w:after="156" w:line="560" w:lineRule="exact"/>
        <w:jc w:val="center"/>
        <w:outlineLvl w:val="0"/>
        <w:rPr>
          <w:rFonts w:hint="eastAsia" w:ascii="楷体" w:hAnsi="楷体" w:eastAsia="楷体" w:cs="楷体"/>
          <w:b w:val="0"/>
          <w:bCs/>
          <w:color w:val="auto"/>
          <w:kern w:val="44"/>
          <w:sz w:val="36"/>
          <w:szCs w:val="44"/>
          <w:highlight w:val="none"/>
          <w:lang w:val="en-US" w:eastAsia="zh-CN" w:bidi="ar-SA"/>
        </w:rPr>
      </w:pPr>
      <w:r>
        <w:rPr>
          <w:rFonts w:hint="eastAsia" w:ascii="楷体" w:hAnsi="楷体" w:eastAsia="楷体" w:cs="楷体"/>
          <w:b w:val="0"/>
          <w:bCs/>
          <w:color w:val="auto"/>
          <w:kern w:val="44"/>
          <w:sz w:val="36"/>
          <w:szCs w:val="44"/>
          <w:highlight w:val="none"/>
          <w:lang w:val="en-US" w:eastAsia="zh-CN" w:bidi="ar-SA"/>
        </w:rPr>
        <w:t>第二章 供应商须</w:t>
      </w:r>
      <w:bookmarkEnd w:id="35"/>
      <w:r>
        <w:rPr>
          <w:rFonts w:hint="eastAsia" w:ascii="楷体" w:hAnsi="楷体" w:eastAsia="楷体" w:cs="楷体"/>
          <w:b w:val="0"/>
          <w:bCs/>
          <w:color w:val="auto"/>
          <w:kern w:val="44"/>
          <w:sz w:val="36"/>
          <w:szCs w:val="44"/>
          <w:highlight w:val="none"/>
          <w:lang w:val="en-US" w:eastAsia="zh-CN" w:bidi="ar-SA"/>
        </w:rPr>
        <w:t>知</w:t>
      </w:r>
      <w:bookmarkEnd w:id="36"/>
    </w:p>
    <w:p>
      <w:pPr>
        <w:pStyle w:val="4"/>
        <w:pageBreakBefore w:val="0"/>
        <w:widowControl w:val="0"/>
        <w:kinsoku/>
        <w:wordWrap/>
        <w:overflowPunct/>
        <w:topLinePunct w:val="0"/>
        <w:autoSpaceDE/>
        <w:autoSpaceDN/>
        <w:bidi w:val="0"/>
        <w:adjustRightInd/>
        <w:snapToGrid w:val="0"/>
        <w:spacing w:before="156" w:after="156" w:line="560" w:lineRule="exact"/>
        <w:jc w:val="center"/>
        <w:textAlignment w:val="auto"/>
        <w:rPr>
          <w:rFonts w:hint="eastAsia" w:ascii="楷体" w:hAnsi="楷体" w:eastAsia="楷体" w:cs="楷体"/>
          <w:color w:val="auto"/>
          <w:highlight w:val="none"/>
        </w:rPr>
      </w:pPr>
      <w:bookmarkStart w:id="38" w:name="_Toc27143"/>
      <w:bookmarkStart w:id="39" w:name="_Toc18701"/>
      <w:r>
        <w:rPr>
          <w:rFonts w:hint="eastAsia" w:ascii="楷体" w:hAnsi="楷体" w:eastAsia="楷体" w:cs="楷体"/>
          <w:color w:val="auto"/>
          <w:highlight w:val="none"/>
        </w:rPr>
        <w:t>供应商须知前附表</w:t>
      </w:r>
      <w:bookmarkEnd w:id="37"/>
      <w:bookmarkEnd w:id="38"/>
      <w:bookmarkEnd w:id="39"/>
    </w:p>
    <w:tbl>
      <w:tblPr>
        <w:tblStyle w:val="31"/>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33"/>
        <w:gridCol w:w="5"/>
        <w:gridCol w:w="24"/>
        <w:gridCol w:w="9"/>
        <w:gridCol w:w="2935"/>
        <w:gridCol w:w="4999"/>
        <w:gridCol w:w="6"/>
        <w:gridCol w:w="1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384" w:hRule="atLeast"/>
        </w:trPr>
        <w:tc>
          <w:tcPr>
            <w:tcW w:w="1162"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bookmarkStart w:id="40" w:name="_Toc53945649"/>
            <w:bookmarkStart w:id="41" w:name="_Toc13631"/>
            <w:bookmarkStart w:id="42" w:name="_Toc30156"/>
            <w:r>
              <w:rPr>
                <w:rFonts w:hint="eastAsia" w:ascii="楷体" w:hAnsi="楷体" w:eastAsia="楷体" w:cs="楷体"/>
                <w:color w:val="auto"/>
                <w:sz w:val="24"/>
                <w:szCs w:val="24"/>
                <w:highlight w:val="none"/>
              </w:rPr>
              <w:t>条款号</w:t>
            </w:r>
          </w:p>
        </w:tc>
        <w:tc>
          <w:tcPr>
            <w:tcW w:w="2944" w:type="dxa"/>
            <w:gridSpan w:val="2"/>
            <w:shd w:val="clear" w:color="auto" w:fill="FFFFFF"/>
            <w:vAlign w:val="bottom"/>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条 款 内 容</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842"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1.7.</w:t>
            </w:r>
            <w:r>
              <w:rPr>
                <w:rFonts w:hint="eastAsia" w:ascii="楷体" w:hAnsi="楷体" w:eastAsia="楷体" w:cs="楷体"/>
                <w:color w:val="auto"/>
                <w:sz w:val="24"/>
                <w:szCs w:val="24"/>
                <w:highlight w:val="none"/>
              </w:rPr>
              <w:t>1</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踏勘现场</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不组织</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组织</w:t>
            </w:r>
            <w:r>
              <w:rPr>
                <w:rFonts w:hint="eastAsia" w:ascii="楷体" w:hAnsi="楷体" w:eastAsia="楷体" w:cs="楷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7"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1.8</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询比采购预备会</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不召开</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rPr>
              <w:t>□召开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438"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1.9</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分包</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lang w:val="en-US" w:eastAsia="zh-CN"/>
              </w:rPr>
              <w:t>本项目不允许分包</w:t>
            </w:r>
            <w:r>
              <w:rPr>
                <w:rFonts w:hint="eastAsia" w:ascii="楷体" w:hAnsi="楷体" w:eastAsia="楷体" w:cs="楷体"/>
                <w:color w:val="auto"/>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438"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auto"/>
                <w:sz w:val="24"/>
                <w:szCs w:val="24"/>
                <w:highlight w:val="none"/>
                <w:lang w:val="en-US" w:eastAsia="zh-CN" w:bidi="en-US"/>
              </w:rPr>
            </w:pPr>
            <w:r>
              <w:rPr>
                <w:rFonts w:hint="eastAsia" w:ascii="楷体" w:hAnsi="楷体" w:eastAsia="楷体" w:cs="楷体"/>
                <w:color w:val="auto"/>
                <w:sz w:val="24"/>
                <w:szCs w:val="24"/>
                <w:highlight w:val="none"/>
                <w:lang w:val="en-US" w:eastAsia="zh-CN" w:bidi="en-US"/>
              </w:rPr>
              <w:t>2.2.1</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供应商要求澄清采购文件的时间</w:t>
            </w:r>
          </w:p>
        </w:tc>
        <w:tc>
          <w:tcPr>
            <w:tcW w:w="5019"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u w:val="none"/>
              </w:rPr>
              <w:t>提交响应文件截止时间3天前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438"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auto"/>
                <w:sz w:val="24"/>
                <w:szCs w:val="24"/>
                <w:highlight w:val="none"/>
                <w:lang w:val="en-US" w:eastAsia="zh-CN" w:bidi="en-US"/>
              </w:rPr>
            </w:pPr>
            <w:r>
              <w:rPr>
                <w:rFonts w:hint="eastAsia" w:ascii="楷体" w:hAnsi="楷体" w:eastAsia="楷体" w:cs="楷体"/>
                <w:color w:val="auto"/>
                <w:sz w:val="24"/>
                <w:szCs w:val="24"/>
                <w:highlight w:val="none"/>
                <w:lang w:val="en-US" w:eastAsia="zh-CN" w:bidi="en-US"/>
              </w:rPr>
              <w:t>2.2.3</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rPr>
              <w:t>供应商</w:t>
            </w:r>
            <w:r>
              <w:rPr>
                <w:rFonts w:hint="eastAsia" w:ascii="楷体" w:hAnsi="楷体" w:eastAsia="楷体" w:cs="楷体"/>
                <w:color w:val="auto"/>
                <w:sz w:val="24"/>
                <w:szCs w:val="24"/>
                <w:highlight w:val="none"/>
                <w:lang w:val="en-US" w:eastAsia="zh-CN"/>
              </w:rPr>
              <w:t>确认</w:t>
            </w:r>
            <w:r>
              <w:rPr>
                <w:rFonts w:hint="eastAsia" w:ascii="楷体" w:hAnsi="楷体" w:eastAsia="楷体" w:cs="楷体"/>
                <w:color w:val="auto"/>
                <w:sz w:val="24"/>
                <w:szCs w:val="24"/>
                <w:highlight w:val="none"/>
              </w:rPr>
              <w:t>收到补充文件</w:t>
            </w:r>
            <w:r>
              <w:rPr>
                <w:rFonts w:hint="eastAsia" w:ascii="楷体" w:hAnsi="楷体" w:eastAsia="楷体" w:cs="楷体"/>
                <w:color w:val="auto"/>
                <w:sz w:val="24"/>
                <w:szCs w:val="24"/>
                <w:highlight w:val="none"/>
                <w:lang w:val="en-US" w:eastAsia="zh-CN"/>
              </w:rPr>
              <w:t>的时间</w:t>
            </w:r>
          </w:p>
        </w:tc>
        <w:tc>
          <w:tcPr>
            <w:tcW w:w="5019"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both"/>
              <w:textAlignment w:val="auto"/>
              <w:rPr>
                <w:rFonts w:hint="default"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补充文件一经发出即视为供应商已收到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392"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3.2.2</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采购标的数量增减幅度</w:t>
            </w:r>
          </w:p>
        </w:tc>
        <w:tc>
          <w:tcPr>
            <w:tcW w:w="5019"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ind w:left="360" w:hanging="360"/>
              <w:textAlignment w:val="auto"/>
              <w:rPr>
                <w:rFonts w:hint="eastAsia" w:ascii="楷体" w:hAnsi="楷体" w:eastAsia="楷体" w:cs="楷体"/>
                <w:color w:val="auto"/>
                <w:sz w:val="24"/>
                <w:szCs w:val="24"/>
                <w:highlight w:val="none"/>
                <w:lang w:val="zh-TW" w:eastAsia="zh-CN" w:bidi="zh-TW"/>
              </w:rPr>
            </w:pPr>
            <w:r>
              <w:rPr>
                <w:rFonts w:hint="eastAsia" w:ascii="楷体" w:hAnsi="楷体" w:eastAsia="楷体" w:cs="楷体"/>
                <w:color w:val="auto"/>
                <w:sz w:val="24"/>
                <w:szCs w:val="24"/>
                <w:highlight w:val="none"/>
                <w:lang w:val="zh-TW" w:eastAsia="zh-CN" w:bidi="zh-TW"/>
              </w:rPr>
              <w:t>不增减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25"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3.2.3</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lang w:val="zh-TW" w:eastAsia="zh-TW"/>
              </w:rPr>
            </w:pPr>
            <w:r>
              <w:rPr>
                <w:rFonts w:hint="eastAsia" w:ascii="楷体" w:hAnsi="楷体" w:eastAsia="楷体" w:cs="楷体"/>
                <w:color w:val="auto"/>
                <w:sz w:val="24"/>
                <w:szCs w:val="24"/>
                <w:highlight w:val="none"/>
                <w:lang w:val="en-US" w:eastAsia="zh-CN"/>
              </w:rPr>
              <w:t>最髙限价</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□无</w:t>
            </w:r>
          </w:p>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☑有，最高限价：49.8</w:t>
            </w:r>
            <w:r>
              <w:rPr>
                <w:rFonts w:hint="default"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437"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3.3.</w:t>
            </w:r>
            <w:r>
              <w:rPr>
                <w:rFonts w:hint="eastAsia" w:ascii="楷体" w:hAnsi="楷体" w:eastAsia="楷体" w:cs="楷体"/>
                <w:color w:val="auto"/>
                <w:sz w:val="24"/>
                <w:szCs w:val="24"/>
                <w:highlight w:val="none"/>
              </w:rPr>
              <w:t>1</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响应文件有效期</w:t>
            </w:r>
          </w:p>
        </w:tc>
        <w:tc>
          <w:tcPr>
            <w:tcW w:w="5019" w:type="dxa"/>
            <w:gridSpan w:val="3"/>
            <w:shd w:val="clear" w:color="auto" w:fill="FFFFFF"/>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lang w:val="en-US" w:eastAsia="zh-CN" w:bidi="zh-TW"/>
              </w:rPr>
            </w:pPr>
            <w:r>
              <w:rPr>
                <w:rFonts w:hint="eastAsia" w:ascii="楷体" w:hAnsi="楷体" w:eastAsia="楷体" w:cs="楷体"/>
                <w:color w:val="auto"/>
                <w:sz w:val="24"/>
                <w:szCs w:val="24"/>
                <w:highlight w:val="none"/>
                <w:lang w:val="en-US" w:eastAsia="zh-CN" w:bidi="zh-TW"/>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90"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3.4</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响应保证金</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 xml:space="preserve">不要求递交 </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lang w:val="zh-TW" w:eastAsia="zh-TW"/>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 xml:space="preserve">要求递交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8"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3.5 (1)</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依法设立的证明材料</w:t>
            </w:r>
          </w:p>
        </w:tc>
        <w:tc>
          <w:tcPr>
            <w:tcW w:w="5019"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□不适用</w:t>
            </w:r>
          </w:p>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lang w:val="zh-TW" w:eastAsia="zh-TW"/>
              </w:rPr>
            </w:pPr>
            <w:r>
              <w:rPr>
                <w:rFonts w:hint="eastAsia" w:ascii="楷体" w:hAnsi="楷体" w:eastAsia="楷体" w:cs="楷体"/>
                <w:color w:val="auto"/>
                <w:sz w:val="24"/>
                <w:szCs w:val="24"/>
                <w:highlight w:val="none"/>
                <w:lang w:eastAsia="zh-CN"/>
              </w:rPr>
              <w:t>☑适用。投标文件中提供有效期内的营业执照或事业单位法人证书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8"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eastAsia="en-US" w:bidi="en-US"/>
              </w:rPr>
            </w:pPr>
            <w:r>
              <w:rPr>
                <w:rFonts w:hint="eastAsia" w:ascii="楷体" w:hAnsi="楷体" w:eastAsia="楷体" w:cs="楷体"/>
                <w:color w:val="auto"/>
                <w:sz w:val="24"/>
                <w:szCs w:val="24"/>
                <w:highlight w:val="none"/>
                <w:lang w:eastAsia="en-US" w:bidi="en-US"/>
              </w:rPr>
              <w:t>3.5 (2)</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资质要求证明材料</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不适用</w:t>
            </w:r>
          </w:p>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适用</w:t>
            </w:r>
            <w:r>
              <w:rPr>
                <w:rFonts w:hint="eastAsia" w:ascii="楷体" w:hAnsi="楷体" w:eastAsia="楷体" w:cs="楷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8"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eastAsia="en-US" w:bidi="en-US"/>
              </w:rPr>
            </w:pPr>
            <w:r>
              <w:rPr>
                <w:rFonts w:hint="eastAsia" w:ascii="楷体" w:hAnsi="楷体" w:eastAsia="楷体" w:cs="楷体"/>
                <w:color w:val="auto"/>
                <w:sz w:val="24"/>
                <w:szCs w:val="24"/>
                <w:highlight w:val="none"/>
                <w:lang w:eastAsia="en-US" w:bidi="en-US"/>
              </w:rPr>
              <w:t>3.5 (3)</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财务要求证明材料</w:t>
            </w:r>
          </w:p>
        </w:tc>
        <w:tc>
          <w:tcPr>
            <w:tcW w:w="5019"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☑不适用</w:t>
            </w:r>
          </w:p>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8"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eastAsia="en-US" w:bidi="en-US"/>
              </w:rPr>
            </w:pPr>
            <w:r>
              <w:rPr>
                <w:rFonts w:hint="eastAsia" w:ascii="楷体" w:hAnsi="楷体" w:eastAsia="楷体" w:cs="楷体"/>
                <w:color w:val="auto"/>
                <w:sz w:val="24"/>
                <w:szCs w:val="24"/>
                <w:highlight w:val="none"/>
                <w:lang w:eastAsia="en-US" w:bidi="en-US"/>
              </w:rPr>
              <w:t>3.5 (4)</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业绩要求证明材料</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☑不适用</w:t>
            </w:r>
          </w:p>
          <w:p>
            <w:pPr>
              <w:pageBreakBefore w:val="0"/>
              <w:widowControl w:val="0"/>
              <w:kinsoku/>
              <w:wordWrap/>
              <w:overflowPunct/>
              <w:topLinePunct w:val="0"/>
              <w:autoSpaceDE/>
              <w:autoSpaceDN/>
              <w:bidi w:val="0"/>
              <w:adjustRightInd/>
              <w:snapToGrid w:val="0"/>
              <w:spacing w:line="560" w:lineRule="exact"/>
              <w:ind w:firstLine="240" w:firstLineChars="1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8" w:hRule="atLeast"/>
        </w:trPr>
        <w:tc>
          <w:tcPr>
            <w:tcW w:w="1171"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eastAsia="en-US" w:bidi="en-US"/>
              </w:rPr>
            </w:pPr>
            <w:r>
              <w:rPr>
                <w:rFonts w:hint="eastAsia" w:ascii="楷体" w:hAnsi="楷体" w:eastAsia="楷体" w:cs="楷体"/>
                <w:color w:val="auto"/>
                <w:sz w:val="24"/>
                <w:szCs w:val="24"/>
                <w:highlight w:val="none"/>
                <w:lang w:eastAsia="en-US" w:bidi="en-US"/>
              </w:rPr>
              <w:t>3.5 (5)</w:t>
            </w:r>
          </w:p>
        </w:tc>
        <w:tc>
          <w:tcPr>
            <w:tcW w:w="2935"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信誉要求证明材料</w:t>
            </w:r>
          </w:p>
        </w:tc>
        <w:tc>
          <w:tcPr>
            <w:tcW w:w="5019" w:type="dxa"/>
            <w:gridSpan w:val="3"/>
            <w:shd w:val="clear" w:color="auto" w:fill="FFFFFF"/>
            <w:vAlign w:val="bottom"/>
          </w:tcPr>
          <w:p>
            <w:pPr>
              <w:pageBreakBefore w:val="0"/>
              <w:widowControl w:val="0"/>
              <w:kinsoku/>
              <w:wordWrap/>
              <w:overflowPunct/>
              <w:topLinePunct w:val="0"/>
              <w:autoSpaceDE/>
              <w:autoSpaceDN/>
              <w:bidi w:val="0"/>
              <w:adjustRightInd/>
              <w:snapToGrid w:val="0"/>
              <w:spacing w:line="560" w:lineRule="exact"/>
              <w:ind w:firstLine="36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□不适用</w:t>
            </w:r>
          </w:p>
          <w:p>
            <w:pPr>
              <w:pageBreakBefore w:val="0"/>
              <w:widowControl w:val="0"/>
              <w:kinsoku/>
              <w:wordWrap/>
              <w:overflowPunct/>
              <w:topLinePunct w:val="0"/>
              <w:autoSpaceDE/>
              <w:autoSpaceDN/>
              <w:bidi w:val="0"/>
              <w:adjustRightInd/>
              <w:snapToGrid w:val="0"/>
              <w:spacing w:line="560" w:lineRule="exact"/>
              <w:ind w:firstLine="360" w:firstLineChars="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☑适用。未被“信用中国”网站列入“失信被执行人名单”</w:t>
            </w:r>
            <w:r>
              <w:rPr>
                <w:rFonts w:hint="eastAsia" w:ascii="楷体" w:hAnsi="楷体" w:eastAsia="楷体" w:cs="楷体"/>
                <w:color w:val="auto"/>
                <w:sz w:val="24"/>
                <w:szCs w:val="24"/>
                <w:highlight w:val="none"/>
                <w:lang w:val="en-US" w:eastAsia="zh-CN"/>
              </w:rPr>
              <w:t>或</w:t>
            </w:r>
            <w:r>
              <w:rPr>
                <w:rFonts w:hint="eastAsia" w:ascii="楷体" w:hAnsi="楷体" w:eastAsia="楷体" w:cs="楷体"/>
                <w:color w:val="auto"/>
                <w:sz w:val="24"/>
                <w:szCs w:val="24"/>
                <w:highlight w:val="none"/>
              </w:rPr>
              <w:t>未被“中国政府采购网”列入“政府采购严重违法失信行为记录名单”。资格评审结束前由采购人或采购代理机构现场查询并随采购资料一并留档。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8" w:hRule="atLeast"/>
        </w:trPr>
        <w:tc>
          <w:tcPr>
            <w:tcW w:w="1171"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eastAsia="en-US" w:bidi="en-US"/>
              </w:rPr>
            </w:pPr>
            <w:r>
              <w:rPr>
                <w:rFonts w:hint="eastAsia" w:ascii="楷体" w:hAnsi="楷体" w:eastAsia="楷体" w:cs="楷体"/>
                <w:color w:val="auto"/>
                <w:sz w:val="24"/>
                <w:szCs w:val="24"/>
                <w:highlight w:val="none"/>
                <w:lang w:eastAsia="en-US" w:bidi="en-US"/>
              </w:rPr>
              <w:t>3.5 (</w:t>
            </w:r>
            <w:r>
              <w:rPr>
                <w:rFonts w:hint="eastAsia" w:ascii="楷体" w:hAnsi="楷体" w:eastAsia="楷体" w:cs="楷体"/>
                <w:color w:val="auto"/>
                <w:sz w:val="24"/>
                <w:szCs w:val="24"/>
                <w:highlight w:val="none"/>
                <w:lang w:val="en-US" w:eastAsia="zh-CN" w:bidi="en-US"/>
              </w:rPr>
              <w:t>6</w:t>
            </w:r>
            <w:r>
              <w:rPr>
                <w:rFonts w:hint="eastAsia" w:ascii="楷体" w:hAnsi="楷体" w:eastAsia="楷体" w:cs="楷体"/>
                <w:color w:val="auto"/>
                <w:sz w:val="24"/>
                <w:szCs w:val="24"/>
                <w:highlight w:val="none"/>
                <w:lang w:eastAsia="en-US" w:bidi="en-US"/>
              </w:rPr>
              <w:t>)</w:t>
            </w:r>
          </w:p>
        </w:tc>
        <w:tc>
          <w:tcPr>
            <w:tcW w:w="2935"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供应商不存在第一章</w:t>
            </w:r>
            <w:r>
              <w:rPr>
                <w:rFonts w:hint="eastAsia" w:ascii="楷体" w:hAnsi="楷体" w:eastAsia="楷体" w:cs="楷体"/>
                <w:color w:val="auto"/>
                <w:sz w:val="24"/>
                <w:szCs w:val="24"/>
                <w:highlight w:val="none"/>
                <w:lang w:bidi="en-US"/>
              </w:rPr>
              <w:t>3.</w:t>
            </w:r>
            <w:r>
              <w:rPr>
                <w:rFonts w:hint="eastAsia" w:ascii="楷体" w:hAnsi="楷体" w:eastAsia="楷体" w:cs="楷体"/>
                <w:color w:val="auto"/>
                <w:sz w:val="24"/>
                <w:szCs w:val="24"/>
                <w:highlight w:val="none"/>
              </w:rPr>
              <w:t>2款 情形的证明材料</w:t>
            </w:r>
          </w:p>
        </w:tc>
        <w:tc>
          <w:tcPr>
            <w:tcW w:w="5019"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ind w:firstLine="36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□不适用</w:t>
            </w:r>
          </w:p>
          <w:p>
            <w:pPr>
              <w:pageBreakBefore w:val="0"/>
              <w:widowControl w:val="0"/>
              <w:kinsoku/>
              <w:wordWrap/>
              <w:overflowPunct/>
              <w:topLinePunct w:val="0"/>
              <w:autoSpaceDE/>
              <w:autoSpaceDN/>
              <w:bidi w:val="0"/>
              <w:adjustRightInd/>
              <w:snapToGrid w:val="0"/>
              <w:spacing w:line="560" w:lineRule="exact"/>
              <w:ind w:firstLine="36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适用。供应商在响应文件中提供承诺书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0" w:type="dxa"/>
          <w:trHeight w:val="768" w:hRule="atLeast"/>
        </w:trPr>
        <w:tc>
          <w:tcPr>
            <w:tcW w:w="1171"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eastAsia="en-US" w:bidi="en-US"/>
              </w:rPr>
            </w:pPr>
            <w:r>
              <w:rPr>
                <w:rFonts w:hint="eastAsia" w:ascii="楷体" w:hAnsi="楷体" w:eastAsia="楷体" w:cs="楷体"/>
                <w:color w:val="auto"/>
                <w:sz w:val="24"/>
                <w:szCs w:val="24"/>
                <w:highlight w:val="none"/>
                <w:lang w:eastAsia="en-US" w:bidi="en-US"/>
              </w:rPr>
              <w:t>3.5 (</w:t>
            </w:r>
            <w:r>
              <w:rPr>
                <w:rFonts w:hint="eastAsia" w:ascii="楷体" w:hAnsi="楷体" w:eastAsia="楷体" w:cs="楷体"/>
                <w:color w:val="auto"/>
                <w:sz w:val="24"/>
                <w:szCs w:val="24"/>
                <w:highlight w:val="none"/>
                <w:lang w:val="en-US" w:eastAsia="zh-CN" w:bidi="en-US"/>
              </w:rPr>
              <w:t>7</w:t>
            </w:r>
            <w:r>
              <w:rPr>
                <w:rFonts w:hint="eastAsia" w:ascii="楷体" w:hAnsi="楷体" w:eastAsia="楷体" w:cs="楷体"/>
                <w:color w:val="auto"/>
                <w:sz w:val="24"/>
                <w:szCs w:val="24"/>
                <w:highlight w:val="none"/>
                <w:lang w:eastAsia="en-US" w:bidi="en-US"/>
              </w:rPr>
              <w:t>)</w:t>
            </w:r>
          </w:p>
        </w:tc>
        <w:tc>
          <w:tcPr>
            <w:tcW w:w="2935"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联合体要求的证明材料</w:t>
            </w:r>
          </w:p>
        </w:tc>
        <w:tc>
          <w:tcPr>
            <w:tcW w:w="5019"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ind w:firstLine="36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☑不适用</w:t>
            </w:r>
          </w:p>
          <w:p>
            <w:pPr>
              <w:pageBreakBefore w:val="0"/>
              <w:widowControl w:val="0"/>
              <w:kinsoku/>
              <w:wordWrap/>
              <w:overflowPunct/>
              <w:topLinePunct w:val="0"/>
              <w:autoSpaceDE/>
              <w:autoSpaceDN/>
              <w:bidi w:val="0"/>
              <w:adjustRightInd/>
              <w:snapToGrid w:val="0"/>
              <w:spacing w:line="560" w:lineRule="exact"/>
              <w:ind w:firstLine="360" w:firstLineChars="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9" w:hRule="atLeast"/>
        </w:trPr>
        <w:tc>
          <w:tcPr>
            <w:tcW w:w="1162"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3.7.5</w:t>
            </w:r>
          </w:p>
        </w:tc>
        <w:tc>
          <w:tcPr>
            <w:tcW w:w="2944"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响应文件</w:t>
            </w:r>
            <w:r>
              <w:rPr>
                <w:rFonts w:hint="eastAsia" w:ascii="楷体" w:hAnsi="楷体" w:eastAsia="楷体" w:cs="楷体"/>
                <w:color w:val="auto"/>
                <w:sz w:val="24"/>
                <w:szCs w:val="24"/>
                <w:highlight w:val="none"/>
                <w:lang w:val="en-US" w:eastAsia="zh-Hans"/>
              </w:rPr>
              <w:t>正、</w:t>
            </w:r>
            <w:r>
              <w:rPr>
                <w:rFonts w:hint="eastAsia" w:ascii="楷体" w:hAnsi="楷体" w:eastAsia="楷体" w:cs="楷体"/>
                <w:color w:val="auto"/>
                <w:sz w:val="24"/>
                <w:szCs w:val="24"/>
                <w:highlight w:val="none"/>
              </w:rPr>
              <w:t>副本份数及电子版要求</w:t>
            </w:r>
          </w:p>
        </w:tc>
        <w:tc>
          <w:tcPr>
            <w:tcW w:w="5029"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响应文件</w:t>
            </w:r>
            <w:r>
              <w:rPr>
                <w:rFonts w:hint="eastAsia" w:ascii="楷体" w:hAnsi="楷体" w:eastAsia="楷体" w:cs="楷体"/>
                <w:color w:val="auto"/>
                <w:sz w:val="24"/>
                <w:szCs w:val="24"/>
                <w:highlight w:val="none"/>
                <w:lang w:val="en-US" w:eastAsia="zh-Hans"/>
              </w:rPr>
              <w:t>正本</w:t>
            </w:r>
            <w:r>
              <w:rPr>
                <w:rFonts w:hint="default" w:ascii="楷体" w:hAnsi="楷体" w:eastAsia="楷体" w:cs="楷体"/>
                <w:color w:val="auto"/>
                <w:sz w:val="24"/>
                <w:szCs w:val="24"/>
                <w:highlight w:val="none"/>
                <w:lang w:eastAsia="zh-Hans"/>
              </w:rPr>
              <w:t xml:space="preserve"> 1 </w:t>
            </w:r>
            <w:r>
              <w:rPr>
                <w:rFonts w:hint="eastAsia" w:ascii="楷体" w:hAnsi="楷体" w:eastAsia="楷体" w:cs="楷体"/>
                <w:color w:val="auto"/>
                <w:sz w:val="24"/>
                <w:szCs w:val="24"/>
                <w:highlight w:val="none"/>
                <w:lang w:val="en-US" w:eastAsia="zh-Hans"/>
              </w:rPr>
              <w:t>份</w:t>
            </w:r>
            <w:r>
              <w:rPr>
                <w:rFonts w:hint="eastAsia" w:ascii="楷体" w:hAnsi="楷体" w:eastAsia="楷体" w:cs="楷体"/>
                <w:color w:val="auto"/>
                <w:sz w:val="24"/>
                <w:szCs w:val="24"/>
                <w:highlight w:val="none"/>
              </w:rPr>
              <w:t xml:space="preserve">副本 </w:t>
            </w: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 xml:space="preserve">份 </w:t>
            </w:r>
          </w:p>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rPr>
              <w:t>是否要求提供电子版响应文件：</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30" w:type="dxa"/>
          <w:trHeight w:val="874" w:hRule="atLeast"/>
        </w:trPr>
        <w:tc>
          <w:tcPr>
            <w:tcW w:w="1133"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4.1.2</w:t>
            </w:r>
          </w:p>
        </w:tc>
        <w:tc>
          <w:tcPr>
            <w:tcW w:w="2973"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封套上应载明的信息</w:t>
            </w:r>
          </w:p>
        </w:tc>
        <w:tc>
          <w:tcPr>
            <w:tcW w:w="4999"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val="zh-TW" w:eastAsia="zh-CN" w:bidi="zh-TW"/>
              </w:rPr>
              <w:t>供应商</w:t>
            </w:r>
            <w:r>
              <w:rPr>
                <w:rFonts w:hint="eastAsia" w:ascii="楷体" w:hAnsi="楷体" w:eastAsia="楷体" w:cs="楷体"/>
                <w:color w:val="auto"/>
                <w:sz w:val="24"/>
                <w:szCs w:val="24"/>
                <w:highlight w:val="none"/>
                <w:lang w:val="zh-TW" w:eastAsia="zh-TW" w:bidi="zh-TW"/>
              </w:rPr>
              <w:t>名称：</w:t>
            </w:r>
          </w:p>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val="zh-TW" w:eastAsia="zh-CN" w:bidi="zh-TW"/>
              </w:rPr>
              <w:t>供应商</w:t>
            </w:r>
            <w:r>
              <w:rPr>
                <w:rFonts w:hint="eastAsia" w:ascii="楷体" w:hAnsi="楷体" w:eastAsia="楷体" w:cs="楷体"/>
                <w:color w:val="auto"/>
                <w:sz w:val="24"/>
                <w:szCs w:val="24"/>
                <w:highlight w:val="none"/>
                <w:lang w:val="zh-TW" w:eastAsia="zh-TW" w:bidi="zh-TW"/>
              </w:rPr>
              <w:t>地址：</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lang w:val="zh-TW" w:eastAsia="zh-CN" w:bidi="zh-TW"/>
              </w:rPr>
            </w:pPr>
            <w:r>
              <w:rPr>
                <w:rFonts w:hint="eastAsia" w:ascii="楷体" w:hAnsi="楷体" w:eastAsia="楷体" w:cs="楷体"/>
                <w:color w:val="auto"/>
                <w:sz w:val="24"/>
                <w:szCs w:val="24"/>
                <w:highlight w:val="none"/>
                <w:u w:val="single"/>
                <w:lang w:val="en-US" w:eastAsia="zh-CN" w:bidi="zh-TW"/>
              </w:rPr>
              <w:t xml:space="preserve">    （项目名称</w:t>
            </w:r>
            <w:r>
              <w:rPr>
                <w:rFonts w:hint="eastAsia" w:ascii="楷体" w:hAnsi="楷体" w:eastAsia="楷体" w:cs="楷体"/>
                <w:color w:val="auto"/>
                <w:sz w:val="24"/>
                <w:szCs w:val="24"/>
                <w:highlight w:val="none"/>
                <w:lang w:val="en-US" w:eastAsia="zh-Hans"/>
              </w:rPr>
              <w:t>、编号</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u w:val="single"/>
                <w:lang w:val="en-US" w:eastAsia="zh-CN" w:bidi="zh-TW"/>
              </w:rPr>
              <w:t xml:space="preserve"> </w:t>
            </w:r>
            <w:r>
              <w:rPr>
                <w:rFonts w:hint="eastAsia" w:ascii="楷体" w:hAnsi="楷体" w:eastAsia="楷体" w:cs="楷体"/>
                <w:color w:val="auto"/>
                <w:sz w:val="24"/>
                <w:szCs w:val="24"/>
                <w:highlight w:val="none"/>
                <w:lang w:val="zh-TW" w:eastAsia="zh-CN" w:bidi="zh-TW"/>
              </w:rPr>
              <w:t>响应文件</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30" w:type="dxa"/>
          <w:trHeight w:val="883" w:hRule="atLeast"/>
        </w:trPr>
        <w:tc>
          <w:tcPr>
            <w:tcW w:w="1133"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4.2.</w:t>
            </w:r>
            <w:r>
              <w:rPr>
                <w:rFonts w:hint="eastAsia" w:ascii="楷体" w:hAnsi="楷体" w:eastAsia="楷体" w:cs="楷体"/>
                <w:color w:val="auto"/>
                <w:sz w:val="24"/>
                <w:szCs w:val="24"/>
                <w:highlight w:val="none"/>
              </w:rPr>
              <w:t>1</w:t>
            </w:r>
          </w:p>
        </w:tc>
        <w:tc>
          <w:tcPr>
            <w:tcW w:w="2973"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递交响应文件的截止时间和地点</w:t>
            </w:r>
          </w:p>
        </w:tc>
        <w:tc>
          <w:tcPr>
            <w:tcW w:w="4999" w:type="dxa"/>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u w:val="single"/>
                <w:lang w:val="zh-TW" w:eastAsia="zh-CN" w:bidi="zh-TW"/>
              </w:rPr>
            </w:pPr>
            <w:r>
              <w:rPr>
                <w:rFonts w:hint="eastAsia" w:ascii="楷体" w:hAnsi="楷体" w:eastAsia="楷体" w:cs="楷体"/>
                <w:color w:val="auto"/>
                <w:sz w:val="24"/>
                <w:szCs w:val="24"/>
                <w:highlight w:val="none"/>
              </w:rPr>
              <w:t>截止时间：</w:t>
            </w:r>
            <w:r>
              <w:rPr>
                <w:rFonts w:hint="eastAsia" w:ascii="楷体" w:hAnsi="楷体" w:eastAsia="楷体" w:cs="楷体"/>
                <w:color w:val="auto"/>
                <w:sz w:val="24"/>
                <w:szCs w:val="24"/>
                <w:highlight w:val="none"/>
                <w:lang w:eastAsia="zh-CN"/>
              </w:rPr>
              <w:t>见公示</w:t>
            </w:r>
          </w:p>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rPr>
              <w:t>递交响应文件的地点</w:t>
            </w:r>
            <w:r>
              <w:rPr>
                <w:rFonts w:hint="eastAsia" w:ascii="楷体" w:hAnsi="楷体" w:eastAsia="楷体" w:cs="楷体"/>
                <w:color w:val="auto"/>
                <w:sz w:val="24"/>
                <w:szCs w:val="24"/>
                <w:highlight w:val="none"/>
                <w:shd w:val="clear"/>
              </w:rPr>
              <w:t>：</w:t>
            </w:r>
            <w:r>
              <w:rPr>
                <w:rFonts w:hint="default" w:ascii="楷体" w:hAnsi="楷体" w:eastAsia="楷体" w:cs="楷体"/>
                <w:color w:val="auto"/>
                <w:sz w:val="24"/>
                <w:szCs w:val="24"/>
                <w:highlight w:val="none"/>
              </w:rPr>
              <w:t>周口市人民路东段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30" w:type="dxa"/>
          <w:trHeight w:val="869" w:hRule="atLeast"/>
        </w:trPr>
        <w:tc>
          <w:tcPr>
            <w:tcW w:w="1133"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4.2.2</w:t>
            </w:r>
          </w:p>
        </w:tc>
        <w:tc>
          <w:tcPr>
            <w:tcW w:w="2973"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是否退还响应文件</w:t>
            </w:r>
          </w:p>
        </w:tc>
        <w:tc>
          <w:tcPr>
            <w:tcW w:w="4999"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否</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rPr>
              <w:t>□是，退还时间：</w:t>
            </w:r>
            <w:r>
              <w:rPr>
                <w:rFonts w:hint="eastAsia" w:ascii="楷体" w:hAnsi="楷体" w:eastAsia="楷体" w:cs="楷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30" w:type="dxa"/>
          <w:trHeight w:val="426" w:hRule="atLeast"/>
        </w:trPr>
        <w:tc>
          <w:tcPr>
            <w:tcW w:w="1133"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5</w:t>
            </w:r>
            <w:r>
              <w:rPr>
                <w:rFonts w:hint="eastAsia" w:ascii="楷体" w:hAnsi="楷体" w:eastAsia="楷体" w:cs="楷体"/>
                <w:color w:val="auto"/>
                <w:sz w:val="24"/>
                <w:szCs w:val="24"/>
                <w:highlight w:val="none"/>
                <w:lang w:val="en-US" w:eastAsia="zh-CN" w:bidi="en-US"/>
              </w:rPr>
              <w:t>.</w:t>
            </w:r>
            <w:r>
              <w:rPr>
                <w:rFonts w:hint="eastAsia" w:ascii="楷体" w:hAnsi="楷体" w:eastAsia="楷体" w:cs="楷体"/>
                <w:color w:val="auto"/>
                <w:sz w:val="24"/>
                <w:szCs w:val="24"/>
                <w:highlight w:val="none"/>
                <w:lang w:eastAsia="en-US" w:bidi="en-US"/>
              </w:rPr>
              <w:t>2 (4)</w:t>
            </w:r>
          </w:p>
        </w:tc>
        <w:tc>
          <w:tcPr>
            <w:tcW w:w="2973"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开启程序</w:t>
            </w:r>
          </w:p>
        </w:tc>
        <w:tc>
          <w:tcPr>
            <w:tcW w:w="4999" w:type="dxa"/>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rPr>
              <w:t>开启顺序：</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签到逆序</w:t>
            </w:r>
            <w:r>
              <w:rPr>
                <w:rFonts w:hint="eastAsia" w:ascii="楷体" w:hAnsi="楷体" w:eastAsia="楷体" w:cs="楷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30" w:type="dxa"/>
          <w:trHeight w:val="904" w:hRule="atLeast"/>
        </w:trPr>
        <w:tc>
          <w:tcPr>
            <w:tcW w:w="1133"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en-US" w:bidi="en-US"/>
              </w:rPr>
              <w:t>6.2.2</w:t>
            </w:r>
          </w:p>
        </w:tc>
        <w:tc>
          <w:tcPr>
            <w:tcW w:w="2973"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lang w:val="zh-TW" w:eastAsia="zh-TW"/>
              </w:rPr>
            </w:pPr>
            <w:r>
              <w:rPr>
                <w:rFonts w:hint="eastAsia" w:ascii="楷体" w:hAnsi="楷体" w:eastAsia="楷体" w:cs="楷体"/>
                <w:color w:val="auto"/>
                <w:sz w:val="24"/>
                <w:szCs w:val="24"/>
                <w:highlight w:val="none"/>
              </w:rPr>
              <w:t>推荐候选成交供应商的排序及数量</w:t>
            </w:r>
          </w:p>
        </w:tc>
        <w:tc>
          <w:tcPr>
            <w:tcW w:w="4999" w:type="dxa"/>
            <w:shd w:val="clear" w:color="auto" w:fill="FFFFFF"/>
            <w:vAlign w:val="bottom"/>
          </w:tcPr>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lang w:eastAsia="zh-TW"/>
              </w:rPr>
            </w:pPr>
            <w:r>
              <w:rPr>
                <w:rFonts w:hint="eastAsia" w:ascii="楷体" w:hAnsi="楷体" w:eastAsia="楷体" w:cs="楷体"/>
                <w:color w:val="auto"/>
                <w:sz w:val="24"/>
                <w:szCs w:val="24"/>
                <w:highlight w:val="none"/>
                <w:lang w:eastAsia="zh-TW"/>
              </w:rPr>
              <w:t xml:space="preserve">是否排序： </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eastAsia="zh-TW"/>
              </w:rPr>
              <w:t>排序 □不排序</w:t>
            </w:r>
          </w:p>
          <w:p>
            <w:pPr>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color w:val="auto"/>
                <w:sz w:val="24"/>
                <w:szCs w:val="24"/>
                <w:highlight w:val="none"/>
                <w:lang w:val="zh-TW" w:eastAsia="zh-TW"/>
              </w:rPr>
            </w:pPr>
            <w:r>
              <w:rPr>
                <w:rFonts w:hint="eastAsia" w:ascii="楷体" w:hAnsi="楷体" w:eastAsia="楷体" w:cs="楷体"/>
                <w:color w:val="auto"/>
                <w:sz w:val="24"/>
                <w:szCs w:val="24"/>
                <w:highlight w:val="none"/>
              </w:rPr>
              <w:t xml:space="preserve">数量： </w:t>
            </w: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30" w:type="dxa"/>
          <w:trHeight w:val="775" w:hRule="atLeast"/>
        </w:trPr>
        <w:tc>
          <w:tcPr>
            <w:tcW w:w="1133"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CN" w:bidi="zh-TW"/>
              </w:rPr>
            </w:pPr>
            <w:r>
              <w:rPr>
                <w:rFonts w:hint="eastAsia" w:ascii="楷体" w:hAnsi="楷体" w:eastAsia="楷体" w:cs="楷体"/>
                <w:color w:val="auto"/>
                <w:sz w:val="24"/>
                <w:szCs w:val="24"/>
                <w:highlight w:val="none"/>
                <w:lang w:eastAsia="en-US" w:bidi="en-US"/>
              </w:rPr>
              <w:t>7.</w:t>
            </w:r>
            <w:r>
              <w:rPr>
                <w:rFonts w:hint="eastAsia" w:ascii="楷体" w:hAnsi="楷体" w:eastAsia="楷体" w:cs="楷体"/>
                <w:color w:val="auto"/>
                <w:sz w:val="24"/>
                <w:szCs w:val="24"/>
                <w:highlight w:val="none"/>
                <w:lang w:val="en-US" w:eastAsia="zh-CN" w:bidi="en-US"/>
              </w:rPr>
              <w:t>2</w:t>
            </w:r>
          </w:p>
        </w:tc>
        <w:tc>
          <w:tcPr>
            <w:tcW w:w="2973"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预成交结果公示</w:t>
            </w:r>
          </w:p>
        </w:tc>
        <w:tc>
          <w:tcPr>
            <w:tcW w:w="4999" w:type="dxa"/>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default" w:ascii="楷体" w:hAnsi="楷体" w:eastAsia="楷体" w:cs="楷体"/>
                <w:color w:val="auto"/>
                <w:sz w:val="24"/>
                <w:szCs w:val="24"/>
                <w:highlight w:val="none"/>
                <w:u w:val="single"/>
                <w:lang w:eastAsia="zh-TW" w:bidi="zh-TW"/>
              </w:rPr>
            </w:pPr>
            <w:r>
              <w:rPr>
                <w:rFonts w:hint="eastAsia" w:ascii="楷体" w:hAnsi="楷体" w:eastAsia="楷体" w:cs="楷体"/>
                <w:color w:val="auto"/>
                <w:sz w:val="24"/>
                <w:szCs w:val="24"/>
                <w:highlight w:val="none"/>
                <w:lang w:eastAsia="zh-TW"/>
              </w:rPr>
              <w:t>公示媒介：</w:t>
            </w:r>
            <w:r>
              <w:rPr>
                <w:rFonts w:hint="eastAsia" w:ascii="楷体" w:hAnsi="楷体" w:eastAsia="楷体" w:cs="楷体"/>
                <w:color w:val="auto"/>
                <w:sz w:val="24"/>
                <w:szCs w:val="24"/>
                <w:highlight w:val="none"/>
                <w:u w:val="single"/>
                <w:lang w:eastAsia="zh-TW"/>
              </w:rPr>
              <w:t xml:space="preserve"> </w:t>
            </w:r>
            <w:r>
              <w:rPr>
                <w:rFonts w:hint="default" w:ascii="楷体" w:hAnsi="楷体" w:eastAsia="楷体" w:cs="楷体"/>
                <w:color w:val="auto"/>
                <w:sz w:val="24"/>
                <w:szCs w:val="24"/>
                <w:highlight w:val="none"/>
                <w:u w:val="single"/>
                <w:lang w:eastAsia="zh-TW"/>
              </w:rPr>
              <w:t>医院官网</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lang w:eastAsia="zh-TW"/>
              </w:rPr>
              <w:t xml:space="preserve">公示期限： </w:t>
            </w:r>
            <w:r>
              <w:rPr>
                <w:rFonts w:hint="eastAsia" w:ascii="楷体" w:hAnsi="楷体" w:eastAsia="楷体" w:cs="楷体"/>
                <w:color w:val="auto"/>
                <w:sz w:val="24"/>
                <w:szCs w:val="24"/>
                <w:highlight w:val="none"/>
                <w:lang w:val="en-US" w:eastAsia="zh-CN"/>
              </w:rPr>
              <w:t>3天</w:t>
            </w:r>
            <w:r>
              <w:rPr>
                <w:rFonts w:hint="eastAsia" w:ascii="楷体" w:hAnsi="楷体" w:eastAsia="楷体" w:cs="楷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30" w:type="dxa"/>
          <w:trHeight w:val="468" w:hRule="atLeast"/>
        </w:trPr>
        <w:tc>
          <w:tcPr>
            <w:tcW w:w="1133"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CN" w:bidi="zh-TW"/>
              </w:rPr>
            </w:pPr>
            <w:r>
              <w:rPr>
                <w:rFonts w:hint="eastAsia" w:ascii="楷体" w:hAnsi="楷体" w:eastAsia="楷体" w:cs="楷体"/>
                <w:color w:val="auto"/>
                <w:sz w:val="24"/>
                <w:szCs w:val="24"/>
                <w:highlight w:val="none"/>
                <w:lang w:eastAsia="en-US" w:bidi="en-US"/>
              </w:rPr>
              <w:t>7.</w:t>
            </w:r>
            <w:r>
              <w:rPr>
                <w:rFonts w:hint="eastAsia" w:ascii="楷体" w:hAnsi="楷体" w:eastAsia="楷体" w:cs="楷体"/>
                <w:color w:val="auto"/>
                <w:sz w:val="24"/>
                <w:szCs w:val="24"/>
                <w:highlight w:val="none"/>
                <w:lang w:val="en-US" w:eastAsia="zh-CN" w:bidi="en-US"/>
              </w:rPr>
              <w:t>4</w:t>
            </w:r>
          </w:p>
        </w:tc>
        <w:tc>
          <w:tcPr>
            <w:tcW w:w="2973" w:type="dxa"/>
            <w:gridSpan w:val="4"/>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发布成交公告</w:t>
            </w:r>
          </w:p>
        </w:tc>
        <w:tc>
          <w:tcPr>
            <w:tcW w:w="4999" w:type="dxa"/>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both"/>
              <w:textAlignment w:val="auto"/>
              <w:rPr>
                <w:rFonts w:hint="default" w:ascii="楷体" w:hAnsi="楷体" w:eastAsia="楷体" w:cs="楷体"/>
                <w:color w:val="auto"/>
                <w:sz w:val="24"/>
                <w:szCs w:val="24"/>
                <w:highlight w:val="none"/>
                <w:lang w:eastAsia="zh-TW" w:bidi="zh-TW"/>
              </w:rPr>
            </w:pPr>
            <w:r>
              <w:rPr>
                <w:rFonts w:hint="eastAsia" w:ascii="楷体" w:hAnsi="楷体" w:eastAsia="楷体" w:cs="楷体"/>
                <w:color w:val="auto"/>
                <w:sz w:val="24"/>
                <w:szCs w:val="24"/>
                <w:highlight w:val="none"/>
              </w:rPr>
              <w:t>公告媒介：</w:t>
            </w:r>
            <w:r>
              <w:rPr>
                <w:rFonts w:hint="eastAsia" w:ascii="楷体" w:hAnsi="楷体" w:eastAsia="楷体" w:cs="楷体"/>
                <w:color w:val="auto"/>
                <w:sz w:val="24"/>
                <w:szCs w:val="24"/>
                <w:highlight w:val="none"/>
                <w:u w:val="single"/>
              </w:rPr>
              <w:t xml:space="preserve"> </w:t>
            </w:r>
            <w:r>
              <w:rPr>
                <w:rFonts w:hint="default" w:ascii="楷体" w:hAnsi="楷体" w:eastAsia="楷体" w:cs="楷体"/>
                <w:color w:val="auto"/>
                <w:sz w:val="24"/>
                <w:szCs w:val="24"/>
                <w:highlight w:val="none"/>
                <w:u w:val="single"/>
              </w:rPr>
              <w:t>医院官网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2"/>
          <w:wAfter w:w="24" w:type="dxa"/>
          <w:trHeight w:val="699" w:hRule="atLeast"/>
        </w:trPr>
        <w:tc>
          <w:tcPr>
            <w:tcW w:w="1138" w:type="dxa"/>
            <w:gridSpan w:val="2"/>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CN" w:bidi="zh-TW"/>
              </w:rPr>
            </w:pPr>
            <w:r>
              <w:rPr>
                <w:rFonts w:hint="eastAsia" w:ascii="楷体" w:hAnsi="楷体" w:eastAsia="楷体" w:cs="楷体"/>
                <w:color w:val="auto"/>
                <w:sz w:val="24"/>
                <w:szCs w:val="24"/>
                <w:highlight w:val="none"/>
                <w:lang w:eastAsia="en-US" w:bidi="en-US"/>
              </w:rPr>
              <w:t>7.</w:t>
            </w:r>
            <w:r>
              <w:rPr>
                <w:rFonts w:hint="eastAsia" w:ascii="楷体" w:hAnsi="楷体" w:eastAsia="楷体" w:cs="楷体"/>
                <w:color w:val="auto"/>
                <w:sz w:val="24"/>
                <w:szCs w:val="24"/>
                <w:highlight w:val="none"/>
                <w:lang w:val="en-US" w:eastAsia="zh-CN" w:bidi="en-US"/>
              </w:rPr>
              <w:t>5</w:t>
            </w:r>
          </w:p>
        </w:tc>
        <w:tc>
          <w:tcPr>
            <w:tcW w:w="2968" w:type="dxa"/>
            <w:gridSpan w:val="3"/>
            <w:shd w:val="clear" w:color="auto" w:fill="FFFFFF"/>
            <w:vAlign w:val="center"/>
          </w:tcPr>
          <w:p>
            <w:pPr>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24"/>
                <w:szCs w:val="24"/>
                <w:highlight w:val="none"/>
                <w:lang w:val="zh-TW" w:eastAsia="zh-TW" w:bidi="zh-TW"/>
              </w:rPr>
            </w:pPr>
            <w:r>
              <w:rPr>
                <w:rFonts w:hint="eastAsia" w:ascii="楷体" w:hAnsi="楷体" w:eastAsia="楷体" w:cs="楷体"/>
                <w:color w:val="auto"/>
                <w:sz w:val="24"/>
                <w:szCs w:val="24"/>
                <w:highlight w:val="none"/>
              </w:rPr>
              <w:t>履约保证金</w:t>
            </w:r>
          </w:p>
        </w:tc>
        <w:tc>
          <w:tcPr>
            <w:tcW w:w="5005" w:type="dxa"/>
            <w:gridSpan w:val="2"/>
            <w:shd w:val="clear" w:color="auto" w:fill="FFFFFF"/>
            <w:vAlign w:val="bottom"/>
          </w:tcPr>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 xml:space="preserve">不要求递交 </w:t>
            </w:r>
          </w:p>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sz w:val="24"/>
                <w:szCs w:val="24"/>
                <w:highlight w:val="none"/>
                <w:u w:val="single"/>
                <w:lang w:val="zh-TW" w:eastAsia="zh-TW" w:bidi="zh-TW"/>
              </w:rPr>
            </w:pPr>
            <w:r>
              <w:rPr>
                <w:rFonts w:hint="eastAsia" w:ascii="楷体" w:hAnsi="楷体" w:eastAsia="楷体" w:cs="楷体"/>
                <w:color w:val="auto"/>
                <w:sz w:val="24"/>
                <w:szCs w:val="24"/>
                <w:highlight w:val="none"/>
              </w:rPr>
              <w:t xml:space="preserve">□要求递交 </w:t>
            </w:r>
          </w:p>
        </w:tc>
      </w:tr>
    </w:tbl>
    <w:p>
      <w:pPr>
        <w:pageBreakBefore w:val="0"/>
        <w:widowControl w:val="0"/>
        <w:kinsoku/>
        <w:wordWrap/>
        <w:overflowPunct/>
        <w:topLinePunct w:val="0"/>
        <w:autoSpaceDE/>
        <w:autoSpaceDN/>
        <w:bidi w:val="0"/>
        <w:adjustRightInd/>
        <w:snapToGrid w:val="0"/>
        <w:spacing w:line="560" w:lineRule="exact"/>
        <w:textAlignment w:val="auto"/>
        <w:rPr>
          <w:rFonts w:hint="eastAsia" w:ascii="楷体" w:hAnsi="楷体" w:eastAsia="楷体" w:cs="楷体"/>
          <w:color w:val="auto"/>
          <w:highlight w:val="none"/>
        </w:rPr>
      </w:pPr>
      <w:r>
        <w:rPr>
          <w:rFonts w:hint="eastAsia" w:ascii="楷体" w:hAnsi="楷体" w:eastAsia="楷体" w:cs="楷体"/>
          <w:color w:val="auto"/>
          <w:highlight w:val="none"/>
        </w:rPr>
        <w:br w:type="page"/>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r>
        <w:rPr>
          <w:rFonts w:hint="eastAsia" w:ascii="楷体" w:hAnsi="楷体" w:eastAsia="楷体" w:cs="楷体"/>
          <w:color w:val="auto"/>
          <w:highlight w:val="none"/>
        </w:rPr>
        <w:t>1 总则</w:t>
      </w:r>
      <w:bookmarkEnd w:id="40"/>
      <w:bookmarkEnd w:id="41"/>
      <w:bookmarkEnd w:id="42"/>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43" w:name="_Toc12516"/>
      <w:bookmarkStart w:id="44" w:name="_Toc53945650"/>
      <w:bookmarkStart w:id="45" w:name="_Toc8061"/>
      <w:r>
        <w:rPr>
          <w:rFonts w:hint="eastAsia" w:ascii="楷体" w:hAnsi="楷体" w:eastAsia="楷体" w:cs="楷体"/>
          <w:color w:val="auto"/>
          <w:highlight w:val="none"/>
        </w:rPr>
        <w:t>1.1采购方式</w:t>
      </w:r>
      <w:bookmarkEnd w:id="43"/>
      <w:bookmarkEnd w:id="44"/>
      <w:bookmarkEnd w:id="45"/>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shd w:val="clear" w:fill="FFFF00"/>
        </w:rPr>
      </w:pPr>
      <w:r>
        <w:rPr>
          <w:rFonts w:hint="eastAsia" w:ascii="楷体" w:hAnsi="楷体" w:eastAsia="楷体" w:cs="楷体"/>
          <w:color w:val="auto"/>
          <w:sz w:val="24"/>
          <w:highlight w:val="none"/>
        </w:rPr>
        <w:t>本项目采用</w:t>
      </w:r>
      <w:r>
        <w:rPr>
          <w:rFonts w:hint="eastAsia" w:ascii="楷体" w:hAnsi="楷体" w:eastAsia="楷体" w:cs="楷体"/>
          <w:color w:val="auto"/>
          <w:sz w:val="24"/>
          <w:highlight w:val="none"/>
          <w:lang w:eastAsia="zh-CN"/>
        </w:rPr>
        <w:t>竞争性谈判</w:t>
      </w:r>
      <w:r>
        <w:rPr>
          <w:rFonts w:hint="eastAsia" w:ascii="楷体" w:hAnsi="楷体" w:eastAsia="楷体" w:cs="楷体"/>
          <w:color w:val="auto"/>
          <w:sz w:val="24"/>
          <w:highlight w:val="none"/>
        </w:rPr>
        <w:t>。</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46" w:name="_Toc53945651"/>
      <w:bookmarkStart w:id="47" w:name="_Toc27150"/>
      <w:bookmarkStart w:id="48" w:name="_Toc8696"/>
      <w:r>
        <w:rPr>
          <w:rFonts w:hint="eastAsia" w:ascii="楷体" w:hAnsi="楷体" w:eastAsia="楷体" w:cs="楷体"/>
          <w:color w:val="auto"/>
          <w:highlight w:val="none"/>
        </w:rPr>
        <w:t>1.2采</w:t>
      </w:r>
      <w:r>
        <w:rPr>
          <w:rFonts w:hint="eastAsia" w:ascii="楷体" w:hAnsi="楷体" w:eastAsia="楷体" w:cs="楷体"/>
          <w:color w:val="auto"/>
          <w:highlight w:val="none"/>
          <w:lang w:val="en-US" w:eastAsia="zh-CN"/>
        </w:rPr>
        <w:t>购</w:t>
      </w:r>
      <w:r>
        <w:rPr>
          <w:rFonts w:hint="eastAsia" w:ascii="楷体" w:hAnsi="楷体" w:eastAsia="楷体" w:cs="楷体"/>
          <w:color w:val="auto"/>
          <w:highlight w:val="none"/>
        </w:rPr>
        <w:t>项目概况和供应商资格要求</w:t>
      </w:r>
      <w:bookmarkEnd w:id="46"/>
      <w:bookmarkEnd w:id="47"/>
      <w:bookmarkEnd w:id="48"/>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采购项目概况和供应商资格要求见“采购公告”。</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49" w:name="_Toc53945652"/>
      <w:bookmarkStart w:id="50" w:name="_Toc28381"/>
      <w:bookmarkStart w:id="51" w:name="_Toc27937"/>
      <w:r>
        <w:rPr>
          <w:rFonts w:hint="eastAsia" w:ascii="楷体" w:hAnsi="楷体" w:eastAsia="楷体" w:cs="楷体"/>
          <w:color w:val="auto"/>
          <w:highlight w:val="none"/>
        </w:rPr>
        <w:t>1.3费用承担</w:t>
      </w:r>
      <w:bookmarkEnd w:id="49"/>
      <w:bookmarkEnd w:id="50"/>
      <w:bookmarkEnd w:id="51"/>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供应商准备和参加</w:t>
      </w:r>
      <w:r>
        <w:rPr>
          <w:rFonts w:hint="eastAsia" w:ascii="楷体" w:hAnsi="楷体" w:eastAsia="楷体" w:cs="楷体"/>
          <w:color w:val="auto"/>
          <w:sz w:val="24"/>
          <w:highlight w:val="none"/>
          <w:lang w:eastAsia="zh-CN"/>
        </w:rPr>
        <w:t>竞争性谈判</w:t>
      </w:r>
      <w:r>
        <w:rPr>
          <w:rFonts w:hint="eastAsia" w:ascii="楷体" w:hAnsi="楷体" w:eastAsia="楷体" w:cs="楷体"/>
          <w:color w:val="auto"/>
          <w:sz w:val="24"/>
          <w:highlight w:val="none"/>
        </w:rPr>
        <w:t>采购活动所发生的各种费用由供应商自行承担。</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52" w:name="_Toc53945653"/>
      <w:bookmarkStart w:id="53" w:name="_Toc20097"/>
      <w:bookmarkStart w:id="54" w:name="_Toc832"/>
      <w:r>
        <w:rPr>
          <w:rFonts w:hint="eastAsia" w:ascii="楷体" w:hAnsi="楷体" w:eastAsia="楷体" w:cs="楷体"/>
          <w:color w:val="auto"/>
          <w:highlight w:val="none"/>
        </w:rPr>
        <w:t>1.4保密</w:t>
      </w:r>
      <w:bookmarkEnd w:id="52"/>
      <w:bookmarkEnd w:id="53"/>
      <w:bookmarkEnd w:id="54"/>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参加</w:t>
      </w:r>
      <w:r>
        <w:rPr>
          <w:rFonts w:hint="eastAsia" w:ascii="楷体" w:hAnsi="楷体" w:eastAsia="楷体" w:cs="楷体"/>
          <w:color w:val="auto"/>
          <w:sz w:val="24"/>
          <w:highlight w:val="none"/>
          <w:lang w:eastAsia="zh-CN"/>
        </w:rPr>
        <w:t>竞争性谈判</w:t>
      </w:r>
      <w:r>
        <w:rPr>
          <w:rFonts w:hint="eastAsia" w:ascii="楷体" w:hAnsi="楷体" w:eastAsia="楷体" w:cs="楷体"/>
          <w:color w:val="auto"/>
          <w:sz w:val="24"/>
          <w:highlight w:val="none"/>
        </w:rPr>
        <w:t>采购活动的各方应对采购文件和响应文件中的商业和技术等秘密保密，否则应承担相应的法律责任。</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55" w:name="_Toc53945654"/>
      <w:bookmarkStart w:id="56" w:name="_Toc664"/>
      <w:bookmarkStart w:id="57" w:name="_Toc29130"/>
      <w:r>
        <w:rPr>
          <w:rFonts w:hint="eastAsia" w:ascii="楷体" w:hAnsi="楷体" w:eastAsia="楷体" w:cs="楷体"/>
          <w:color w:val="auto"/>
          <w:highlight w:val="none"/>
        </w:rPr>
        <w:t>1.5语言文字</w:t>
      </w:r>
      <w:bookmarkEnd w:id="55"/>
      <w:bookmarkEnd w:id="56"/>
      <w:bookmarkEnd w:id="57"/>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采购文件和响应文件使用的语言文字为中文。专用术语使用外文的，应附有中文注释。</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58" w:name="_Toc1532"/>
      <w:bookmarkStart w:id="59" w:name="_Toc23591"/>
      <w:bookmarkStart w:id="60" w:name="_Toc53945655"/>
      <w:r>
        <w:rPr>
          <w:rFonts w:hint="eastAsia" w:ascii="楷体" w:hAnsi="楷体" w:eastAsia="楷体" w:cs="楷体"/>
          <w:color w:val="auto"/>
          <w:highlight w:val="none"/>
        </w:rPr>
        <w:t>1.6计量单位</w:t>
      </w:r>
      <w:bookmarkEnd w:id="58"/>
      <w:bookmarkEnd w:id="59"/>
      <w:bookmarkEnd w:id="60"/>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所有计量均采用中华人民共和国法定计量单位。</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61" w:name="_Toc4794"/>
      <w:bookmarkStart w:id="62" w:name="_Toc53945656"/>
      <w:bookmarkStart w:id="63" w:name="_Toc24853"/>
      <w:r>
        <w:rPr>
          <w:rFonts w:hint="eastAsia" w:ascii="楷体" w:hAnsi="楷体" w:eastAsia="楷体" w:cs="楷体"/>
          <w:color w:val="auto"/>
          <w:highlight w:val="none"/>
        </w:rPr>
        <w:t>1.7踏勘现场</w:t>
      </w:r>
      <w:bookmarkEnd w:id="61"/>
      <w:bookmarkEnd w:id="62"/>
      <w:bookmarkEnd w:id="63"/>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1.7.1供应商须知前附表规定组织踏勘现场的，采购人按供应商须知前附表规定的时间、地点组织供应商踏勘项目现场。部分供应商未按时参加踏勘现场的，不影响踏勘现场的正常进行。</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1.7.2供应商可自愿参加踏勘现场活动。除采购人的原因外，采购人对供应商参加踏勘现场中所发生的人员伤亡和财产损失不承担责任。</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64" w:name="_Toc53945661"/>
      <w:bookmarkStart w:id="65" w:name="_Toc17404"/>
      <w:bookmarkStart w:id="66" w:name="_Toc9657"/>
      <w:r>
        <w:rPr>
          <w:rFonts w:hint="eastAsia" w:ascii="楷体" w:hAnsi="楷体" w:eastAsia="楷体" w:cs="楷体"/>
          <w:color w:val="auto"/>
          <w:highlight w:val="none"/>
        </w:rPr>
        <w:t>2采购文件</w:t>
      </w:r>
      <w:bookmarkEnd w:id="64"/>
      <w:bookmarkEnd w:id="65"/>
      <w:bookmarkEnd w:id="66"/>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67" w:name="_Toc53945662"/>
      <w:bookmarkStart w:id="68" w:name="_Toc5586"/>
      <w:bookmarkStart w:id="69" w:name="_Toc20896"/>
      <w:r>
        <w:rPr>
          <w:rFonts w:hint="eastAsia" w:ascii="楷体" w:hAnsi="楷体" w:eastAsia="楷体" w:cs="楷体"/>
          <w:color w:val="auto"/>
          <w:highlight w:val="none"/>
        </w:rPr>
        <w:t>2.1采购文件的组成</w:t>
      </w:r>
      <w:bookmarkEnd w:id="67"/>
      <w:bookmarkEnd w:id="68"/>
      <w:bookmarkEnd w:id="69"/>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本采购文件包括：</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(1)采购公告；</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(2)供应商须知；</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(3)合同条款及格式</w:t>
      </w:r>
      <w:r>
        <w:rPr>
          <w:rFonts w:hint="eastAsia" w:ascii="楷体" w:hAnsi="楷体" w:eastAsia="楷体" w:cs="楷体"/>
          <w:color w:val="auto"/>
          <w:sz w:val="24"/>
          <w:highlight w:val="none"/>
          <w:lang w:eastAsia="zh-CN"/>
        </w:rPr>
        <w:t>（供参考）</w:t>
      </w:r>
      <w:r>
        <w:rPr>
          <w:rFonts w:hint="eastAsia" w:ascii="楷体" w:hAnsi="楷体" w:eastAsia="楷体" w:cs="楷体"/>
          <w:color w:val="auto"/>
          <w:sz w:val="24"/>
          <w:highlight w:val="none"/>
        </w:rPr>
        <w:t>；</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采购需求；</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(5)响应文件格式；</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70" w:name="_Toc53945663"/>
      <w:bookmarkStart w:id="71" w:name="_Toc9098"/>
      <w:bookmarkStart w:id="72" w:name="_Toc1080"/>
      <w:r>
        <w:rPr>
          <w:rFonts w:hint="eastAsia" w:ascii="楷体" w:hAnsi="楷体" w:eastAsia="楷体" w:cs="楷体"/>
          <w:color w:val="auto"/>
          <w:highlight w:val="none"/>
        </w:rPr>
        <w:t>2.2采购文件的澄清和修改</w:t>
      </w:r>
      <w:bookmarkEnd w:id="70"/>
      <w:bookmarkEnd w:id="71"/>
      <w:bookmarkEnd w:id="72"/>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2.2.3供应商在收到补充文件后，应按供应商须知前附表规定的时间和方式通知采购人，确认已收到该补充文件。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2.2.4除非确有必要，采购人有权拒绝回复供应商在本章第2.2.1项规定的时间后提出的任何澄清要求。</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73" w:name="_Toc53945664"/>
      <w:bookmarkStart w:id="74" w:name="_Toc28067"/>
      <w:bookmarkStart w:id="75" w:name="_Toc27128"/>
      <w:r>
        <w:rPr>
          <w:rFonts w:hint="eastAsia" w:ascii="楷体" w:hAnsi="楷体" w:eastAsia="楷体" w:cs="楷体"/>
          <w:color w:val="auto"/>
          <w:highlight w:val="none"/>
        </w:rPr>
        <w:t>3响应文件</w:t>
      </w:r>
      <w:bookmarkEnd w:id="73"/>
      <w:bookmarkEnd w:id="74"/>
      <w:bookmarkEnd w:id="75"/>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76" w:name="_Toc32455"/>
      <w:bookmarkStart w:id="77" w:name="_Toc53945665"/>
      <w:bookmarkStart w:id="78" w:name="_Toc7889"/>
      <w:r>
        <w:rPr>
          <w:rFonts w:hint="eastAsia" w:ascii="楷体" w:hAnsi="楷体" w:eastAsia="楷体" w:cs="楷体"/>
          <w:color w:val="auto"/>
          <w:highlight w:val="none"/>
        </w:rPr>
        <w:t>3.1响应文件的组成</w:t>
      </w:r>
      <w:bookmarkEnd w:id="76"/>
      <w:bookmarkEnd w:id="77"/>
      <w:bookmarkEnd w:id="78"/>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3.1.1响应文件应包括下列内容：</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(1)响应函；</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(2)法定代表人</w:t>
      </w:r>
      <w:r>
        <w:rPr>
          <w:rFonts w:hint="eastAsia" w:ascii="楷体" w:hAnsi="楷体" w:eastAsia="楷体" w:cs="楷体"/>
          <w:color w:val="auto"/>
          <w:sz w:val="24"/>
          <w:highlight w:val="none"/>
          <w:lang w:eastAsia="zh-CN"/>
        </w:rPr>
        <w:t>身份证明或法定代表人</w:t>
      </w:r>
      <w:r>
        <w:rPr>
          <w:rFonts w:hint="eastAsia" w:ascii="楷体" w:hAnsi="楷体" w:eastAsia="楷体" w:cs="楷体"/>
          <w:color w:val="auto"/>
          <w:sz w:val="24"/>
          <w:highlight w:val="none"/>
        </w:rPr>
        <w:t>授权委托书；</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)商务偏离表；</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)技术规格偏离表</w:t>
      </w:r>
      <w:r>
        <w:rPr>
          <w:rFonts w:hint="eastAsia" w:ascii="楷体" w:hAnsi="楷体" w:eastAsia="楷体" w:cs="楷体"/>
          <w:color w:val="auto"/>
          <w:sz w:val="24"/>
          <w:highlight w:val="none"/>
          <w:lang w:eastAsia="zh-CN"/>
        </w:rPr>
        <w:t>；</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)报价表；</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)资格审查</w:t>
      </w:r>
      <w:r>
        <w:rPr>
          <w:rFonts w:hint="eastAsia" w:ascii="楷体" w:hAnsi="楷体" w:eastAsia="楷体" w:cs="楷体"/>
          <w:color w:val="auto"/>
          <w:sz w:val="24"/>
          <w:highlight w:val="none"/>
          <w:lang w:eastAsia="zh-CN"/>
        </w:rPr>
        <w:t>及相关</w:t>
      </w:r>
      <w:r>
        <w:rPr>
          <w:rFonts w:hint="eastAsia" w:ascii="楷体" w:hAnsi="楷体" w:eastAsia="楷体" w:cs="楷体"/>
          <w:color w:val="auto"/>
          <w:sz w:val="24"/>
          <w:highlight w:val="none"/>
        </w:rPr>
        <w:t>资料；</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实施方案</w:t>
      </w:r>
      <w:r>
        <w:rPr>
          <w:rFonts w:hint="eastAsia" w:ascii="楷体" w:hAnsi="楷体" w:eastAsia="楷体" w:cs="楷体"/>
          <w:color w:val="auto"/>
          <w:sz w:val="24"/>
          <w:highlight w:val="none"/>
        </w:rPr>
        <w:t>；</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业绩（如有）；</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其他资料；</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供应商在评审过程中作出的符合采购文件要求的澄清、说明和补正，构成响应文件的组成部分。</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3.1.2供应商的法定代表人(单位负责人）亲自签署响应文件、亲自参加询比的，响应文件不包括第3.1.1 (2)目所指的授权委托书。</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79" w:name="_Toc29166"/>
      <w:bookmarkStart w:id="80" w:name="_Toc53945666"/>
      <w:bookmarkStart w:id="81" w:name="_Toc24961"/>
      <w:r>
        <w:rPr>
          <w:rFonts w:hint="eastAsia" w:ascii="楷体" w:hAnsi="楷体" w:eastAsia="楷体" w:cs="楷体"/>
          <w:color w:val="auto"/>
          <w:highlight w:val="none"/>
        </w:rPr>
        <w:t>3.2报价</w:t>
      </w:r>
      <w:bookmarkEnd w:id="79"/>
      <w:bookmarkEnd w:id="80"/>
      <w:bookmarkEnd w:id="81"/>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3.2.1供应商应按采购文件提供的格式(见第六章“响应文件格式”）在响应函和报价表中进行报价。响应函中报价应</w:t>
      </w:r>
      <w:r>
        <w:rPr>
          <w:rFonts w:hint="eastAsia" w:ascii="楷体" w:hAnsi="楷体" w:eastAsia="楷体" w:cs="楷体"/>
          <w:color w:val="auto"/>
          <w:sz w:val="24"/>
          <w:highlight w:val="none"/>
          <w:lang w:val="en-US" w:eastAsia="zh-CN"/>
        </w:rPr>
        <w:t>包含</w:t>
      </w:r>
      <w:r>
        <w:rPr>
          <w:rFonts w:hint="eastAsia" w:ascii="楷体" w:hAnsi="楷体" w:eastAsia="楷体" w:cs="楷体"/>
          <w:color w:val="auto"/>
          <w:sz w:val="24"/>
          <w:szCs w:val="24"/>
          <w:highlight w:val="none"/>
        </w:rPr>
        <w:t>软件费、安装调试费、各种税费、利润、保险费、包装费、运杂费、装卸费、搬运费、质保期内的维保及软件升级和相应伴随服务费及</w:t>
      </w:r>
      <w:r>
        <w:rPr>
          <w:rFonts w:hint="eastAsia" w:ascii="楷体" w:hAnsi="楷体" w:eastAsia="楷体" w:cs="楷体"/>
          <w:color w:val="auto"/>
          <w:sz w:val="24"/>
          <w:szCs w:val="24"/>
          <w:highlight w:val="none"/>
          <w:lang w:val="en-US" w:eastAsia="zh-CN"/>
        </w:rPr>
        <w:t>采购</w:t>
      </w:r>
      <w:r>
        <w:rPr>
          <w:rFonts w:hint="eastAsia" w:ascii="楷体" w:hAnsi="楷体" w:eastAsia="楷体" w:cs="楷体"/>
          <w:color w:val="auto"/>
          <w:sz w:val="24"/>
          <w:szCs w:val="24"/>
          <w:highlight w:val="none"/>
        </w:rPr>
        <w:t>过程中产生的一切费用</w:t>
      </w:r>
      <w:r>
        <w:rPr>
          <w:rFonts w:hint="eastAsia" w:ascii="楷体" w:hAnsi="楷体" w:eastAsia="楷体" w:cs="楷体"/>
          <w:color w:val="auto"/>
          <w:sz w:val="24"/>
          <w:highlight w:val="none"/>
        </w:rPr>
        <w:t>。</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3.2.3采购人设有最高限价的，供应商的报价不得超过最高限价。最高限价或最高限价计算方法在供应商须知前附表中载明。</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82" w:name="_Toc2451"/>
      <w:bookmarkStart w:id="83" w:name="_Toc30673"/>
      <w:bookmarkStart w:id="84" w:name="_Toc53945667"/>
      <w:r>
        <w:rPr>
          <w:rFonts w:hint="eastAsia" w:ascii="楷体" w:hAnsi="楷体" w:eastAsia="楷体" w:cs="楷体"/>
          <w:color w:val="auto"/>
          <w:highlight w:val="none"/>
        </w:rPr>
        <w:t>3.3响应文件有效期</w:t>
      </w:r>
      <w:bookmarkEnd w:id="82"/>
      <w:bookmarkEnd w:id="83"/>
      <w:bookmarkEnd w:id="84"/>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3.3.1除供应商须知前附表另有规定外，响应文件有效期应为</w:t>
      </w:r>
      <w:r>
        <w:rPr>
          <w:rFonts w:hint="eastAsia" w:ascii="楷体" w:hAnsi="楷体" w:eastAsia="楷体" w:cs="楷体"/>
          <w:color w:val="auto"/>
          <w:sz w:val="24"/>
          <w:highlight w:val="none"/>
          <w:lang w:val="en-US" w:eastAsia="zh-CN"/>
        </w:rPr>
        <w:t>90</w:t>
      </w:r>
      <w:r>
        <w:rPr>
          <w:rFonts w:hint="eastAsia" w:ascii="楷体" w:hAnsi="楷体" w:eastAsia="楷体" w:cs="楷体"/>
          <w:color w:val="auto"/>
          <w:sz w:val="24"/>
          <w:highlight w:val="none"/>
        </w:rPr>
        <w:t>日，从采购文件规定的递交响应文件的截止时间开始计算。</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3.3.2出现特殊情况需要延长响应文件有效期的，采购人以书面形式通知所有供应商延长响应文件有效期，供应商应予以书面答复。同意延长的，不得修改其响应文件；供应商拒绝延长的，其响应文件在原有效期届满后失效。</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85" w:name="_Toc10377"/>
      <w:bookmarkStart w:id="86" w:name="_Toc11241"/>
      <w:bookmarkStart w:id="87" w:name="_Toc53945668"/>
      <w:r>
        <w:rPr>
          <w:rFonts w:hint="eastAsia" w:ascii="楷体" w:hAnsi="楷体" w:eastAsia="楷体" w:cs="楷体"/>
          <w:color w:val="auto"/>
          <w:highlight w:val="none"/>
        </w:rPr>
        <w:t>3.4响应保证金</w:t>
      </w:r>
      <w:bookmarkEnd w:id="85"/>
      <w:bookmarkEnd w:id="86"/>
      <w:bookmarkEnd w:id="87"/>
    </w:p>
    <w:p>
      <w:pPr>
        <w:pStyle w:val="5"/>
        <w:pageBreakBefore w:val="0"/>
        <w:kinsoku/>
        <w:wordWrap/>
        <w:overflowPunct/>
        <w:topLinePunct w:val="0"/>
        <w:bidi w:val="0"/>
        <w:snapToGrid w:val="0"/>
        <w:spacing w:line="560" w:lineRule="exact"/>
        <w:ind w:firstLine="480" w:firstLineChars="200"/>
        <w:rPr>
          <w:rFonts w:hint="eastAsia" w:ascii="楷体" w:hAnsi="楷体" w:eastAsia="楷体" w:cs="楷体"/>
          <w:b w:val="0"/>
          <w:bCs w:val="0"/>
          <w:color w:val="auto"/>
          <w:kern w:val="2"/>
          <w:sz w:val="24"/>
          <w:szCs w:val="22"/>
          <w:highlight w:val="none"/>
          <w:lang w:val="en-US" w:eastAsia="zh-CN" w:bidi="ar-SA"/>
        </w:rPr>
      </w:pPr>
      <w:bookmarkStart w:id="88" w:name="_Toc13324"/>
      <w:bookmarkStart w:id="89" w:name="_Toc11860"/>
      <w:bookmarkStart w:id="90" w:name="_Toc53945669"/>
      <w:r>
        <w:rPr>
          <w:rFonts w:hint="eastAsia" w:ascii="楷体" w:hAnsi="楷体" w:eastAsia="楷体" w:cs="楷体"/>
          <w:b w:val="0"/>
          <w:bCs w:val="0"/>
          <w:color w:val="auto"/>
          <w:kern w:val="2"/>
          <w:sz w:val="24"/>
          <w:szCs w:val="22"/>
          <w:highlight w:val="none"/>
          <w:lang w:val="en-US" w:eastAsia="zh-CN" w:bidi="ar-SA"/>
        </w:rPr>
        <w:t>本项目不涉及。</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r>
        <w:rPr>
          <w:rFonts w:hint="eastAsia" w:ascii="楷体" w:hAnsi="楷体" w:eastAsia="楷体" w:cs="楷体"/>
          <w:color w:val="auto"/>
          <w:highlight w:val="none"/>
        </w:rPr>
        <w:t>3.5资格审查资料</w:t>
      </w:r>
      <w:bookmarkEnd w:id="88"/>
      <w:bookmarkEnd w:id="89"/>
      <w:bookmarkEnd w:id="90"/>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供应商应提供供应商须知前附表中规定的资格审查资料，以证明其满足第一章“</w:t>
      </w:r>
      <w:r>
        <w:rPr>
          <w:rFonts w:hint="eastAsia" w:ascii="楷体" w:hAnsi="楷体" w:eastAsia="楷体" w:cs="楷体"/>
          <w:color w:val="auto"/>
          <w:sz w:val="24"/>
          <w:highlight w:val="none"/>
          <w:lang w:eastAsia="zh-CN"/>
        </w:rPr>
        <w:t>竞争性谈判</w:t>
      </w:r>
      <w:r>
        <w:rPr>
          <w:rFonts w:hint="eastAsia" w:ascii="楷体" w:hAnsi="楷体" w:eastAsia="楷体" w:cs="楷体"/>
          <w:color w:val="auto"/>
          <w:sz w:val="24"/>
          <w:highlight w:val="none"/>
        </w:rPr>
        <w:t>采购公告”对供应商的各项资格要求。</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lang w:eastAsia="zh-CN"/>
        </w:rPr>
      </w:pPr>
      <w:bookmarkStart w:id="91" w:name="_Toc53945670"/>
      <w:bookmarkStart w:id="92" w:name="_Toc15456"/>
      <w:bookmarkStart w:id="93" w:name="_Toc3408"/>
      <w:r>
        <w:rPr>
          <w:rFonts w:hint="eastAsia" w:ascii="楷体" w:hAnsi="楷体" w:eastAsia="楷体" w:cs="楷体"/>
          <w:color w:val="auto"/>
          <w:highlight w:val="none"/>
        </w:rPr>
        <w:t>3.6</w:t>
      </w:r>
      <w:bookmarkEnd w:id="91"/>
      <w:r>
        <w:rPr>
          <w:rFonts w:hint="eastAsia" w:ascii="楷体" w:hAnsi="楷体" w:eastAsia="楷体" w:cs="楷体"/>
          <w:color w:val="auto"/>
          <w:highlight w:val="none"/>
          <w:lang w:eastAsia="zh-CN"/>
        </w:rPr>
        <w:t>实施方案</w:t>
      </w:r>
      <w:bookmarkEnd w:id="92"/>
      <w:bookmarkEnd w:id="93"/>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3.6.1响应文件应当对采购文件中的实质性内容作出响应。</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3.6.2供应商只能提出唯一的</w:t>
      </w:r>
      <w:r>
        <w:rPr>
          <w:rFonts w:hint="eastAsia" w:ascii="楷体" w:hAnsi="楷体" w:eastAsia="楷体" w:cs="楷体"/>
          <w:color w:val="auto"/>
          <w:sz w:val="24"/>
          <w:highlight w:val="none"/>
          <w:lang w:eastAsia="zh-CN"/>
        </w:rPr>
        <w:t>实施方案</w:t>
      </w:r>
      <w:r>
        <w:rPr>
          <w:rFonts w:hint="eastAsia" w:ascii="楷体" w:hAnsi="楷体" w:eastAsia="楷体" w:cs="楷体"/>
          <w:color w:val="auto"/>
          <w:sz w:val="24"/>
          <w:highlight w:val="none"/>
        </w:rPr>
        <w:t>。供应商在响应文件中提出多个</w:t>
      </w:r>
      <w:r>
        <w:rPr>
          <w:rFonts w:hint="eastAsia" w:ascii="楷体" w:hAnsi="楷体" w:eastAsia="楷体" w:cs="楷体"/>
          <w:color w:val="auto"/>
          <w:sz w:val="24"/>
          <w:highlight w:val="none"/>
          <w:lang w:eastAsia="zh-CN"/>
        </w:rPr>
        <w:t>实施方案</w:t>
      </w:r>
      <w:r>
        <w:rPr>
          <w:rFonts w:hint="eastAsia" w:ascii="楷体" w:hAnsi="楷体" w:eastAsia="楷体" w:cs="楷体"/>
          <w:color w:val="auto"/>
          <w:sz w:val="24"/>
          <w:highlight w:val="none"/>
        </w:rPr>
        <w:t>的，其响应文件将被视为无效。</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3.6.3响应文件对采购文件的全部偏差，均应在响应文件的商务和技术偏差表中列明。响应文件偏差表中未列明的内容，将视为供应商响应采购文件的要求</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但如发现响应文件的其他部分与商务和技术偏差表的描述不一致或供应商的响应缺乏支持性文件，则评审小组有权要求供应商对相关问题进行澄清，并根据澄清结果对供应商的响应文件进行评审。</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94" w:name="_Toc20391"/>
      <w:bookmarkStart w:id="95" w:name="_Toc7586"/>
      <w:bookmarkStart w:id="96" w:name="_Toc53945671"/>
      <w:r>
        <w:rPr>
          <w:rFonts w:hint="eastAsia" w:ascii="楷体" w:hAnsi="楷体" w:eastAsia="楷体" w:cs="楷体"/>
          <w:color w:val="auto"/>
          <w:highlight w:val="none"/>
        </w:rPr>
        <w:t>3.7响应文件的编制</w:t>
      </w:r>
      <w:bookmarkEnd w:id="94"/>
      <w:bookmarkEnd w:id="95"/>
      <w:bookmarkEnd w:id="96"/>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3.7.1响应文件应按第六章“响应文件格式”进行编写，如有必要，可以增加附页，作为响应文件的组成部分。</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3.7.2响应文件应用不褪色的材料打印。</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响应函应由供应商的法定代表人(单位负责人）或其授权的代理人</w:t>
      </w:r>
      <w:r>
        <w:rPr>
          <w:rFonts w:hint="eastAsia" w:ascii="楷体" w:hAnsi="楷体" w:eastAsia="楷体" w:cs="楷体"/>
          <w:color w:val="auto"/>
          <w:sz w:val="24"/>
          <w:highlight w:val="none"/>
          <w:lang w:eastAsia="zh-CN"/>
        </w:rPr>
        <w:t>签章或</w:t>
      </w:r>
      <w:r>
        <w:rPr>
          <w:rFonts w:hint="eastAsia" w:ascii="楷体" w:hAnsi="楷体" w:eastAsia="楷体" w:cs="楷体"/>
          <w:color w:val="auto"/>
          <w:sz w:val="24"/>
          <w:highlight w:val="none"/>
        </w:rPr>
        <w:t>签字并加盖单位章。</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响应函由代理人</w:t>
      </w:r>
      <w:r>
        <w:rPr>
          <w:rFonts w:hint="eastAsia" w:ascii="楷体" w:hAnsi="楷体" w:eastAsia="楷体" w:cs="楷体"/>
          <w:color w:val="auto"/>
          <w:sz w:val="24"/>
          <w:highlight w:val="none"/>
          <w:lang w:eastAsia="zh-CN"/>
        </w:rPr>
        <w:t>签章或</w:t>
      </w:r>
      <w:r>
        <w:rPr>
          <w:rFonts w:hint="eastAsia" w:ascii="楷体" w:hAnsi="楷体" w:eastAsia="楷体" w:cs="楷体"/>
          <w:color w:val="auto"/>
          <w:sz w:val="24"/>
          <w:highlight w:val="none"/>
        </w:rPr>
        <w:t>签字的，应在响应文件中附授权委托书，授权委托书应由供应商的法定代表人(单位负责人）</w:t>
      </w:r>
      <w:r>
        <w:rPr>
          <w:rFonts w:hint="eastAsia" w:ascii="楷体" w:hAnsi="楷体" w:eastAsia="楷体" w:cs="楷体"/>
          <w:color w:val="auto"/>
          <w:sz w:val="24"/>
          <w:highlight w:val="none"/>
          <w:lang w:eastAsia="zh-CN"/>
        </w:rPr>
        <w:t>签章或</w:t>
      </w:r>
      <w:r>
        <w:rPr>
          <w:rFonts w:hint="eastAsia" w:ascii="楷体" w:hAnsi="楷体" w:eastAsia="楷体" w:cs="楷体"/>
          <w:color w:val="auto"/>
          <w:sz w:val="24"/>
          <w:highlight w:val="none"/>
        </w:rPr>
        <w:t>签字并加盖单位章。</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3.7.3评审过程中供应商对响应文件的澄清、说明和补正应由供应商的法定代表人 (单位负责人）或其授权的代理人签字或加盖单位章。</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3.7.4响应文件应尽量避免涂改、行间插字或删除。如果出现上述情况，改动之处应由供应商的法定代表人(单位负责人）或其授权的代理人签字或加盖单位章。</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3.7.5响应文件正本一份，副本份数见供应商须知前附表。正本和副本的封面右上角应清楚地标记“正本”或“副本”的字样。供应商应根据供应商须知前附表要求提供电子版文件。当副本和正本不一致或电子版文件和纸质正本文件不一致时，以纸质正本文件为准。</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3.7.6响应文件的正本与副本应分别装订，并编制目录。</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97" w:name="_Toc23199"/>
      <w:bookmarkStart w:id="98" w:name="_Toc53945672"/>
      <w:bookmarkStart w:id="99" w:name="_Toc29866"/>
      <w:r>
        <w:rPr>
          <w:rFonts w:hint="eastAsia" w:ascii="楷体" w:hAnsi="楷体" w:eastAsia="楷体" w:cs="楷体"/>
          <w:color w:val="auto"/>
          <w:highlight w:val="none"/>
        </w:rPr>
        <w:t>4响应文件的递交</w:t>
      </w:r>
      <w:bookmarkEnd w:id="97"/>
      <w:bookmarkEnd w:id="98"/>
      <w:bookmarkEnd w:id="99"/>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00" w:name="_Toc14476"/>
      <w:bookmarkStart w:id="101" w:name="_Toc32314"/>
      <w:bookmarkStart w:id="102" w:name="_Toc53945673"/>
      <w:r>
        <w:rPr>
          <w:rFonts w:hint="eastAsia" w:ascii="楷体" w:hAnsi="楷体" w:eastAsia="楷体" w:cs="楷体"/>
          <w:color w:val="auto"/>
          <w:highlight w:val="none"/>
        </w:rPr>
        <w:t>4.1响应文件的包装与标记</w:t>
      </w:r>
      <w:bookmarkEnd w:id="100"/>
      <w:bookmarkEnd w:id="101"/>
      <w:bookmarkEnd w:id="102"/>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4.1.1响应文件应密封包装，未密封的响应文件，采购人将拒绝接收。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4.1.2响应文件封套上应载明的内容见供应商须知前附表。</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r>
        <w:rPr>
          <w:rFonts w:hint="eastAsia" w:ascii="楷体" w:hAnsi="楷体" w:eastAsia="楷体" w:cs="楷体"/>
          <w:color w:val="auto"/>
          <w:highlight w:val="none"/>
        </w:rPr>
        <w:t>4.2响应文件的递交</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4.2.1供应商应在供应商须知前附表规定的递交响应文件的截止时间前，将响应文件递交到供应商须知前附表规定的地点。逾期送达的或者未送达指定地点的响应文件，采购人将拒绝接收。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4.2.2除供应商须知前附表另有规定外，供应商所递交的响应文件不予退还。</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03" w:name="_Toc31368"/>
      <w:bookmarkStart w:id="104" w:name="_Toc431"/>
      <w:bookmarkStart w:id="105" w:name="_Toc53945674"/>
      <w:r>
        <w:rPr>
          <w:rFonts w:hint="eastAsia" w:ascii="楷体" w:hAnsi="楷体" w:eastAsia="楷体" w:cs="楷体"/>
          <w:color w:val="auto"/>
          <w:highlight w:val="none"/>
        </w:rPr>
        <w:t>4.3响应文件的修改与撤回</w:t>
      </w:r>
      <w:bookmarkEnd w:id="103"/>
      <w:bookmarkEnd w:id="104"/>
      <w:bookmarkEnd w:id="105"/>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4.3.1在本章第4.2.1项规定的递交响应文件的截止时间前，供应商可以修改或撤回已递交的响应文件，但应以书面形式通知采购人。</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4.3.3修改的内容为响应文件的组成部分。响应文件的修改文件应按照本章第3条、第4条的规定进行编制、包装、标记和递交，并标明“修改”字样。</w:t>
      </w:r>
    </w:p>
    <w:p>
      <w:pPr>
        <w:pStyle w:val="4"/>
        <w:pageBreakBefore w:val="0"/>
        <w:kinsoku/>
        <w:wordWrap/>
        <w:overflowPunct/>
        <w:topLinePunct w:val="0"/>
        <w:bidi w:val="0"/>
        <w:snapToGrid w:val="0"/>
        <w:spacing w:before="156" w:after="156" w:line="560" w:lineRule="exact"/>
        <w:rPr>
          <w:rFonts w:hint="eastAsia" w:ascii="楷体" w:hAnsi="楷体" w:eastAsia="楷体" w:cs="楷体"/>
          <w:color w:val="auto"/>
          <w:highlight w:val="none"/>
        </w:rPr>
      </w:pPr>
      <w:bookmarkStart w:id="106" w:name="_Toc2636"/>
      <w:bookmarkStart w:id="107" w:name="_Toc15971"/>
      <w:bookmarkStart w:id="108" w:name="_Toc53945682"/>
      <w:r>
        <w:rPr>
          <w:rFonts w:hint="eastAsia" w:ascii="楷体" w:hAnsi="楷体" w:eastAsia="楷体" w:cs="楷体"/>
          <w:color w:val="auto"/>
          <w:highlight w:val="none"/>
          <w:lang w:val="en-US" w:eastAsia="zh-CN"/>
        </w:rPr>
        <w:t>5</w:t>
      </w:r>
      <w:r>
        <w:rPr>
          <w:rFonts w:hint="eastAsia" w:ascii="楷体" w:hAnsi="楷体" w:eastAsia="楷体" w:cs="楷体"/>
          <w:color w:val="auto"/>
          <w:highlight w:val="none"/>
        </w:rPr>
        <w:t>合同授予</w:t>
      </w:r>
      <w:bookmarkEnd w:id="106"/>
      <w:bookmarkEnd w:id="107"/>
      <w:bookmarkEnd w:id="108"/>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09" w:name="_Toc13520"/>
      <w:bookmarkStart w:id="110" w:name="_Toc17669"/>
      <w:bookmarkStart w:id="111" w:name="_Toc53945684"/>
      <w:r>
        <w:rPr>
          <w:rFonts w:hint="eastAsia" w:ascii="楷体" w:hAnsi="楷体" w:eastAsia="楷体" w:cs="楷体"/>
          <w:color w:val="auto"/>
          <w:highlight w:val="none"/>
          <w:lang w:val="en-US" w:eastAsia="zh-CN"/>
        </w:rPr>
        <w:t>5</w:t>
      </w:r>
      <w:r>
        <w:rPr>
          <w:rFonts w:hint="eastAsia" w:ascii="楷体" w:hAnsi="楷体" w:eastAsia="楷体" w:cs="楷体"/>
          <w:color w:val="auto"/>
          <w:highlight w:val="none"/>
        </w:rPr>
        <w:t>.</w:t>
      </w:r>
      <w:r>
        <w:rPr>
          <w:rFonts w:hint="eastAsia" w:ascii="楷体" w:hAnsi="楷体" w:eastAsia="楷体" w:cs="楷体"/>
          <w:color w:val="auto"/>
          <w:highlight w:val="none"/>
          <w:lang w:val="en-US" w:eastAsia="zh-CN"/>
        </w:rPr>
        <w:t>1</w:t>
      </w:r>
      <w:r>
        <w:rPr>
          <w:rFonts w:hint="eastAsia" w:ascii="楷体" w:hAnsi="楷体" w:eastAsia="楷体" w:cs="楷体"/>
          <w:color w:val="auto"/>
          <w:highlight w:val="none"/>
        </w:rPr>
        <w:t>确定预成交供应商</w:t>
      </w:r>
      <w:bookmarkEnd w:id="109"/>
      <w:bookmarkEnd w:id="110"/>
      <w:bookmarkEnd w:id="111"/>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采购人将根据评审报告，</w:t>
      </w:r>
      <w:r>
        <w:rPr>
          <w:rFonts w:hint="eastAsia" w:ascii="楷体" w:hAnsi="楷体" w:eastAsia="楷体" w:cs="楷体"/>
          <w:color w:val="auto"/>
          <w:sz w:val="24"/>
          <w:highlight w:val="none"/>
          <w:lang w:eastAsia="zh-CN"/>
        </w:rPr>
        <w:t>确定排名第一的</w:t>
      </w:r>
      <w:r>
        <w:rPr>
          <w:rFonts w:hint="eastAsia" w:ascii="楷体" w:hAnsi="楷体" w:eastAsia="楷体" w:cs="楷体"/>
          <w:color w:val="auto"/>
          <w:sz w:val="24"/>
          <w:highlight w:val="none"/>
        </w:rPr>
        <w:t>候选成交供应商</w:t>
      </w:r>
      <w:r>
        <w:rPr>
          <w:rFonts w:hint="eastAsia" w:ascii="楷体" w:hAnsi="楷体" w:eastAsia="楷体" w:cs="楷体"/>
          <w:color w:val="auto"/>
          <w:sz w:val="24"/>
          <w:highlight w:val="none"/>
          <w:lang w:eastAsia="zh-CN"/>
        </w:rPr>
        <w:t>为</w:t>
      </w:r>
      <w:r>
        <w:rPr>
          <w:rFonts w:hint="eastAsia" w:ascii="楷体" w:hAnsi="楷体" w:eastAsia="楷体" w:cs="楷体"/>
          <w:color w:val="auto"/>
          <w:sz w:val="24"/>
          <w:highlight w:val="none"/>
        </w:rPr>
        <w:t>预成交供应商。</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12" w:name="_Toc53945685"/>
      <w:bookmarkStart w:id="113" w:name="_Toc17525"/>
      <w:bookmarkStart w:id="114" w:name="_Toc3968"/>
      <w:r>
        <w:rPr>
          <w:rFonts w:hint="eastAsia" w:ascii="楷体" w:hAnsi="楷体" w:eastAsia="楷体" w:cs="楷体"/>
          <w:color w:val="auto"/>
          <w:highlight w:val="none"/>
          <w:lang w:val="en-US" w:eastAsia="zh-CN"/>
        </w:rPr>
        <w:t>5</w:t>
      </w:r>
      <w:r>
        <w:rPr>
          <w:rFonts w:hint="eastAsia" w:ascii="楷体" w:hAnsi="楷体" w:eastAsia="楷体" w:cs="楷体"/>
          <w:color w:val="auto"/>
          <w:highlight w:val="none"/>
        </w:rPr>
        <w:t>.</w:t>
      </w:r>
      <w:r>
        <w:rPr>
          <w:rFonts w:hint="eastAsia" w:ascii="楷体" w:hAnsi="楷体" w:eastAsia="楷体" w:cs="楷体"/>
          <w:color w:val="auto"/>
          <w:highlight w:val="none"/>
          <w:lang w:val="en-US" w:eastAsia="zh-CN"/>
        </w:rPr>
        <w:t>2</w:t>
      </w:r>
      <w:r>
        <w:rPr>
          <w:rFonts w:hint="eastAsia" w:ascii="楷体" w:hAnsi="楷体" w:eastAsia="楷体" w:cs="楷体"/>
          <w:color w:val="auto"/>
          <w:highlight w:val="none"/>
        </w:rPr>
        <w:t>预成交结果公示</w:t>
      </w:r>
      <w:bookmarkEnd w:id="112"/>
      <w:bookmarkEnd w:id="113"/>
      <w:bookmarkEnd w:id="114"/>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预成交供应商选定后，采购人将</w:t>
      </w:r>
      <w:r>
        <w:rPr>
          <w:rFonts w:hint="eastAsia" w:ascii="楷体" w:hAnsi="楷体" w:eastAsia="楷体" w:cs="楷体"/>
          <w:color w:val="auto"/>
          <w:sz w:val="24"/>
          <w:highlight w:val="none"/>
          <w:lang w:eastAsia="zh-CN"/>
        </w:rPr>
        <w:t>按</w:t>
      </w:r>
      <w:r>
        <w:rPr>
          <w:rFonts w:hint="eastAsia" w:ascii="楷体" w:hAnsi="楷体" w:eastAsia="楷体" w:cs="楷体"/>
          <w:color w:val="auto"/>
          <w:sz w:val="24"/>
          <w:highlight w:val="none"/>
        </w:rPr>
        <w:t>公示期限进行公示，公示信息包括如下内容：</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(1)所有候选成交供应商名称、响应价格及</w:t>
      </w:r>
      <w:r>
        <w:rPr>
          <w:rFonts w:hint="eastAsia" w:ascii="楷体" w:hAnsi="楷体" w:eastAsia="楷体" w:cs="楷体"/>
          <w:color w:val="auto"/>
          <w:sz w:val="24"/>
          <w:highlight w:val="none"/>
          <w:lang w:val="en-US" w:eastAsia="zh-CN"/>
        </w:rPr>
        <w:t>完成时限</w:t>
      </w:r>
      <w:r>
        <w:rPr>
          <w:rFonts w:hint="eastAsia" w:ascii="楷体" w:hAnsi="楷体" w:eastAsia="楷体" w:cs="楷体"/>
          <w:color w:val="auto"/>
          <w:sz w:val="24"/>
          <w:highlight w:val="none"/>
        </w:rPr>
        <w:t>；</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(2)预成交供应商名称、预成交份额(如有</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及选择原因；</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(3)供应商须知前附表规定的其他内容。</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15" w:name="_Toc31253"/>
      <w:bookmarkStart w:id="116" w:name="_Toc53945686"/>
      <w:bookmarkStart w:id="117" w:name="_Toc32661"/>
      <w:r>
        <w:rPr>
          <w:rFonts w:hint="eastAsia" w:ascii="楷体" w:hAnsi="楷体" w:eastAsia="楷体" w:cs="楷体"/>
          <w:color w:val="auto"/>
          <w:highlight w:val="none"/>
          <w:lang w:val="en-US" w:eastAsia="zh-CN"/>
        </w:rPr>
        <w:t>6</w:t>
      </w:r>
      <w:r>
        <w:rPr>
          <w:rFonts w:hint="eastAsia" w:ascii="楷体" w:hAnsi="楷体" w:eastAsia="楷体" w:cs="楷体"/>
          <w:color w:val="auto"/>
          <w:highlight w:val="none"/>
        </w:rPr>
        <w:t>.</w:t>
      </w:r>
      <w:r>
        <w:rPr>
          <w:rFonts w:hint="eastAsia" w:ascii="楷体" w:hAnsi="楷体" w:eastAsia="楷体" w:cs="楷体"/>
          <w:color w:val="auto"/>
          <w:highlight w:val="none"/>
          <w:lang w:val="en-US" w:eastAsia="zh-CN"/>
        </w:rPr>
        <w:t>3</w:t>
      </w:r>
      <w:r>
        <w:rPr>
          <w:rFonts w:hint="eastAsia" w:ascii="楷体" w:hAnsi="楷体" w:eastAsia="楷体" w:cs="楷体"/>
          <w:color w:val="auto"/>
          <w:highlight w:val="none"/>
        </w:rPr>
        <w:t>发出成交通知书</w:t>
      </w:r>
      <w:bookmarkEnd w:id="115"/>
      <w:bookmarkEnd w:id="116"/>
      <w:bookmarkEnd w:id="117"/>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公示期结束后，采购人以书面形式向</w:t>
      </w:r>
      <w:r>
        <w:rPr>
          <w:rFonts w:hint="eastAsia" w:ascii="楷体" w:hAnsi="楷体" w:eastAsia="楷体" w:cs="楷体"/>
          <w:color w:val="auto"/>
          <w:sz w:val="24"/>
          <w:highlight w:val="none"/>
          <w:lang w:eastAsia="zh-CN"/>
        </w:rPr>
        <w:t>排名第一的</w:t>
      </w:r>
      <w:r>
        <w:rPr>
          <w:rFonts w:hint="eastAsia" w:ascii="楷体" w:hAnsi="楷体" w:eastAsia="楷体" w:cs="楷体"/>
          <w:color w:val="auto"/>
          <w:sz w:val="24"/>
          <w:highlight w:val="none"/>
        </w:rPr>
        <w:t>预成交供应商发出成交通知书。</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18" w:name="_Toc20796"/>
      <w:bookmarkStart w:id="119" w:name="_Toc32757"/>
      <w:bookmarkStart w:id="120" w:name="_Toc53945687"/>
      <w:r>
        <w:rPr>
          <w:rFonts w:hint="eastAsia" w:ascii="楷体" w:hAnsi="楷体" w:eastAsia="楷体" w:cs="楷体"/>
          <w:color w:val="auto"/>
          <w:highlight w:val="none"/>
        </w:rPr>
        <w:t>7.</w:t>
      </w:r>
      <w:r>
        <w:rPr>
          <w:rFonts w:hint="eastAsia" w:ascii="楷体" w:hAnsi="楷体" w:eastAsia="楷体" w:cs="楷体"/>
          <w:color w:val="auto"/>
          <w:highlight w:val="none"/>
          <w:lang w:val="en-US" w:eastAsia="zh-CN"/>
        </w:rPr>
        <w:t>4</w:t>
      </w:r>
      <w:r>
        <w:rPr>
          <w:rFonts w:hint="eastAsia" w:ascii="楷体" w:hAnsi="楷体" w:eastAsia="楷体" w:cs="楷体"/>
          <w:color w:val="auto"/>
          <w:highlight w:val="none"/>
        </w:rPr>
        <w:t>发布成交公告</w:t>
      </w:r>
      <w:bookmarkEnd w:id="118"/>
      <w:bookmarkEnd w:id="119"/>
      <w:bookmarkEnd w:id="120"/>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在发出成交通知书的同时，发布成交公告，公告信息包括成交供应商名称、响应价格及完成时限及供应商须知前附表规定的其他内容。</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21" w:name="_Toc3946"/>
      <w:bookmarkStart w:id="122" w:name="_Toc53945688"/>
      <w:bookmarkStart w:id="123" w:name="_Toc12962"/>
      <w:r>
        <w:rPr>
          <w:rFonts w:hint="eastAsia" w:ascii="楷体" w:hAnsi="楷体" w:eastAsia="楷体" w:cs="楷体"/>
          <w:color w:val="auto"/>
          <w:highlight w:val="none"/>
        </w:rPr>
        <w:t>7.</w:t>
      </w:r>
      <w:r>
        <w:rPr>
          <w:rFonts w:hint="eastAsia" w:ascii="楷体" w:hAnsi="楷体" w:eastAsia="楷体" w:cs="楷体"/>
          <w:color w:val="auto"/>
          <w:highlight w:val="none"/>
          <w:lang w:val="en-US" w:eastAsia="zh-CN"/>
        </w:rPr>
        <w:t>5</w:t>
      </w:r>
      <w:r>
        <w:rPr>
          <w:rFonts w:hint="eastAsia" w:ascii="楷体" w:hAnsi="楷体" w:eastAsia="楷体" w:cs="楷体"/>
          <w:color w:val="auto"/>
          <w:highlight w:val="none"/>
        </w:rPr>
        <w:t>履约保证金</w:t>
      </w:r>
      <w:bookmarkEnd w:id="121"/>
      <w:bookmarkEnd w:id="122"/>
      <w:bookmarkEnd w:id="123"/>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供应商须知前附表规定递交履约保证金的，成交供应商应按供应商须知前附表规定的形式、有效期限和递交时间向采购人递交履约保证金。除供应商须知前附表另有规定外。</w:t>
      </w:r>
    </w:p>
    <w:p>
      <w:pPr>
        <w:pStyle w:val="5"/>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24" w:name="_Toc53945689"/>
      <w:bookmarkStart w:id="125" w:name="_Toc11535"/>
      <w:bookmarkStart w:id="126" w:name="_Toc26616"/>
      <w:r>
        <w:rPr>
          <w:rFonts w:hint="eastAsia" w:ascii="楷体" w:hAnsi="楷体" w:eastAsia="楷体" w:cs="楷体"/>
          <w:color w:val="auto"/>
          <w:highlight w:val="none"/>
        </w:rPr>
        <w:t>7.</w:t>
      </w:r>
      <w:r>
        <w:rPr>
          <w:rFonts w:hint="eastAsia" w:ascii="楷体" w:hAnsi="楷体" w:eastAsia="楷体" w:cs="楷体"/>
          <w:color w:val="auto"/>
          <w:highlight w:val="none"/>
          <w:lang w:val="en-US" w:eastAsia="zh-CN"/>
        </w:rPr>
        <w:t>6</w:t>
      </w:r>
      <w:r>
        <w:rPr>
          <w:rFonts w:hint="eastAsia" w:ascii="楷体" w:hAnsi="楷体" w:eastAsia="楷体" w:cs="楷体"/>
          <w:color w:val="auto"/>
          <w:highlight w:val="none"/>
        </w:rPr>
        <w:t>签订合同</w:t>
      </w:r>
      <w:bookmarkEnd w:id="124"/>
      <w:bookmarkEnd w:id="125"/>
      <w:bookmarkEnd w:id="126"/>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7.</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7.</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.2发出成交通知书后，采购人无正当理由拒绝签订合同，或者在签订合同时向成交供应商提出附加条件的，给成交供应商造成损失的，还应当赔偿损失。</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sectPr>
          <w:footerReference r:id="rId3" w:type="default"/>
          <w:pgSz w:w="11906" w:h="16838"/>
          <w:pgMar w:top="1440" w:right="1800" w:bottom="1440" w:left="1800" w:header="851" w:footer="992" w:gutter="0"/>
          <w:cols w:space="425" w:num="1"/>
          <w:docGrid w:type="lines" w:linePitch="312" w:charSpace="0"/>
        </w:sectPr>
      </w:pPr>
    </w:p>
    <w:p>
      <w:pPr>
        <w:rPr>
          <w:rFonts w:hint="eastAsia" w:ascii="楷体" w:hAnsi="楷体" w:eastAsia="楷体" w:cs="楷体"/>
          <w:color w:val="auto"/>
          <w:highlight w:val="none"/>
        </w:rPr>
      </w:pPr>
      <w:bookmarkStart w:id="127" w:name="_Toc12452"/>
      <w:bookmarkStart w:id="128" w:name="_Toc53945728"/>
    </w:p>
    <w:p>
      <w:pPr>
        <w:pStyle w:val="3"/>
        <w:pageBreakBefore w:val="0"/>
        <w:kinsoku/>
        <w:wordWrap/>
        <w:overflowPunct/>
        <w:topLinePunct w:val="0"/>
        <w:bidi w:val="0"/>
        <w:snapToGrid w:val="0"/>
        <w:spacing w:before="312" w:after="312" w:line="560" w:lineRule="exac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第三章  合同条款及格式</w:t>
      </w:r>
      <w:bookmarkEnd w:id="127"/>
      <w:bookmarkEnd w:id="128"/>
    </w:p>
    <w:p>
      <w:pPr>
        <w:pageBreakBefore w:val="0"/>
        <w:kinsoku/>
        <w:wordWrap/>
        <w:overflowPunct/>
        <w:topLinePunct w:val="0"/>
        <w:bidi w:val="0"/>
        <w:snapToGrid w:val="0"/>
        <w:spacing w:line="560" w:lineRule="exact"/>
        <w:ind w:firstLine="728" w:firstLineChars="276"/>
        <w:jc w:val="center"/>
        <w:outlineLvl w:val="1"/>
        <w:rPr>
          <w:rFonts w:hint="eastAsia" w:ascii="楷体" w:hAnsi="楷体" w:eastAsia="楷体" w:cs="楷体"/>
          <w:color w:val="auto"/>
          <w:spacing w:val="12"/>
          <w:sz w:val="24"/>
          <w:szCs w:val="24"/>
          <w:highlight w:val="none"/>
        </w:rPr>
      </w:pPr>
      <w:bookmarkStart w:id="129" w:name="_Toc568"/>
      <w:bookmarkStart w:id="130" w:name="_Toc9081"/>
      <w:bookmarkStart w:id="131" w:name="_Toc53945729"/>
      <w:r>
        <w:rPr>
          <w:rFonts w:hint="eastAsia" w:ascii="楷体" w:hAnsi="楷体" w:eastAsia="楷体" w:cs="楷体"/>
          <w:color w:val="auto"/>
          <w:spacing w:val="12"/>
          <w:sz w:val="24"/>
          <w:szCs w:val="24"/>
          <w:highlight w:val="none"/>
        </w:rPr>
        <w:t>（以双方签订的最终合同为准）</w:t>
      </w:r>
      <w:bookmarkEnd w:id="129"/>
      <w:bookmarkEnd w:id="130"/>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 xml:space="preserve">需方：                       供方： </w:t>
      </w:r>
    </w:p>
    <w:p>
      <w:pPr>
        <w:pageBreakBefore w:val="0"/>
        <w:kinsoku/>
        <w:wordWrap/>
        <w:overflowPunct/>
        <w:topLinePunct w:val="0"/>
        <w:bidi w:val="0"/>
        <w:snapToGrid w:val="0"/>
        <w:spacing w:line="560" w:lineRule="exact"/>
        <w:ind w:firstLine="528" w:firstLineChars="200"/>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供、需双方根据    年  月  日，</w:t>
      </w:r>
      <w:r>
        <w:rPr>
          <w:rFonts w:hint="eastAsia" w:ascii="楷体" w:hAnsi="楷体" w:eastAsia="楷体" w:cs="楷体"/>
          <w:color w:val="auto"/>
          <w:spacing w:val="12"/>
          <w:sz w:val="24"/>
          <w:szCs w:val="24"/>
          <w:highlight w:val="none"/>
          <w:u w:val="single"/>
          <w:lang w:val="en-US" w:eastAsia="zh-CN"/>
        </w:rPr>
        <w:t xml:space="preserve">               </w:t>
      </w:r>
      <w:r>
        <w:rPr>
          <w:rFonts w:hint="eastAsia" w:ascii="楷体" w:hAnsi="楷体" w:eastAsia="楷体" w:cs="楷体"/>
          <w:color w:val="auto"/>
          <w:spacing w:val="12"/>
          <w:sz w:val="24"/>
          <w:szCs w:val="24"/>
          <w:highlight w:val="none"/>
          <w:lang w:eastAsia="zh-CN"/>
        </w:rPr>
        <w:t>项目</w:t>
      </w:r>
      <w:r>
        <w:rPr>
          <w:rFonts w:hint="eastAsia" w:ascii="楷体" w:hAnsi="楷体" w:eastAsia="楷体" w:cs="楷体"/>
          <w:color w:val="auto"/>
          <w:spacing w:val="12"/>
          <w:sz w:val="24"/>
          <w:szCs w:val="24"/>
          <w:highlight w:val="none"/>
        </w:rPr>
        <w:t>采购结果和采购文件要求，并经双方协商一致，达成货物购销合同。</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一、货物名称、规格、单价、总价、技术参数</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二、质量要求及供方对质量负责条件和期限</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三、完成期限、地点</w:t>
      </w:r>
    </w:p>
    <w:p>
      <w:pPr>
        <w:pageBreakBefore w:val="0"/>
        <w:kinsoku/>
        <w:wordWrap/>
        <w:overflowPunct/>
        <w:topLinePunct w:val="0"/>
        <w:bidi w:val="0"/>
        <w:snapToGrid w:val="0"/>
        <w:spacing w:line="560" w:lineRule="exact"/>
        <w:outlineLvl w:val="1"/>
        <w:rPr>
          <w:rFonts w:hint="eastAsia" w:ascii="楷体" w:hAnsi="楷体" w:eastAsia="楷体" w:cs="楷体"/>
          <w:color w:val="auto"/>
          <w:spacing w:val="12"/>
          <w:sz w:val="24"/>
          <w:szCs w:val="24"/>
          <w:highlight w:val="none"/>
        </w:rPr>
      </w:pPr>
      <w:bookmarkStart w:id="132" w:name="_Toc19589"/>
      <w:bookmarkStart w:id="133" w:name="_Toc26868"/>
      <w:r>
        <w:rPr>
          <w:rFonts w:hint="eastAsia" w:ascii="楷体" w:hAnsi="楷体" w:eastAsia="楷体" w:cs="楷体"/>
          <w:color w:val="auto"/>
          <w:spacing w:val="12"/>
          <w:sz w:val="24"/>
          <w:szCs w:val="24"/>
          <w:highlight w:val="none"/>
        </w:rPr>
        <w:t>1、完成期限：</w:t>
      </w:r>
      <w:bookmarkEnd w:id="132"/>
      <w:bookmarkEnd w:id="133"/>
      <w:r>
        <w:rPr>
          <w:rFonts w:hint="eastAsia" w:ascii="楷体" w:hAnsi="楷体" w:eastAsia="楷体" w:cs="楷体"/>
          <w:color w:val="auto"/>
          <w:spacing w:val="12"/>
          <w:sz w:val="24"/>
          <w:szCs w:val="24"/>
          <w:highlight w:val="none"/>
        </w:rPr>
        <w:t xml:space="preserve">  </w:t>
      </w:r>
    </w:p>
    <w:p>
      <w:pPr>
        <w:pageBreakBefore w:val="0"/>
        <w:kinsoku/>
        <w:wordWrap/>
        <w:overflowPunct/>
        <w:topLinePunct w:val="0"/>
        <w:bidi w:val="0"/>
        <w:snapToGrid w:val="0"/>
        <w:spacing w:line="560" w:lineRule="exact"/>
        <w:outlineLvl w:val="1"/>
        <w:rPr>
          <w:rFonts w:hint="eastAsia" w:ascii="楷体" w:hAnsi="楷体" w:eastAsia="楷体" w:cs="楷体"/>
          <w:color w:val="auto"/>
          <w:spacing w:val="12"/>
          <w:sz w:val="24"/>
          <w:szCs w:val="24"/>
          <w:highlight w:val="none"/>
        </w:rPr>
      </w:pPr>
      <w:bookmarkStart w:id="134" w:name="_Toc6843"/>
      <w:bookmarkStart w:id="135" w:name="_Toc22665"/>
      <w:r>
        <w:rPr>
          <w:rFonts w:hint="eastAsia" w:ascii="楷体" w:hAnsi="楷体" w:eastAsia="楷体" w:cs="楷体"/>
          <w:color w:val="auto"/>
          <w:spacing w:val="12"/>
          <w:sz w:val="24"/>
          <w:szCs w:val="24"/>
          <w:highlight w:val="none"/>
        </w:rPr>
        <w:t>2、交货地点：采购人指定地点</w:t>
      </w:r>
      <w:bookmarkEnd w:id="134"/>
      <w:bookmarkEnd w:id="135"/>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四、付款方式及时间：</w:t>
      </w:r>
    </w:p>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u w:val="single"/>
        </w:rPr>
        <w:t xml:space="preserve">     </w:t>
      </w:r>
    </w:p>
    <w:p>
      <w:pPr>
        <w:pageBreakBefore w:val="0"/>
        <w:numPr>
          <w:ilvl w:val="0"/>
          <w:numId w:val="2"/>
        </w:numPr>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售后服务：</w:t>
      </w:r>
    </w:p>
    <w:p>
      <w:pPr>
        <w:pStyle w:val="37"/>
        <w:pageBreakBefore w:val="0"/>
        <w:kinsoku/>
        <w:wordWrap/>
        <w:overflowPunct/>
        <w:topLinePunct w:val="0"/>
        <w:bidi w:val="0"/>
        <w:snapToGrid w:val="0"/>
        <w:spacing w:line="560" w:lineRule="exact"/>
        <w:rPr>
          <w:rFonts w:hint="eastAsia" w:ascii="楷体" w:hAnsi="楷体" w:eastAsia="楷体" w:cs="楷体"/>
          <w:color w:val="auto"/>
          <w:sz w:val="22"/>
          <w:szCs w:val="22"/>
          <w:highlight w:val="none"/>
        </w:rPr>
      </w:pP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六、违约责任</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1、需方无正当理由拒收货物，需方向供方偿付货款总额</w:t>
      </w:r>
      <w:r>
        <w:rPr>
          <w:rFonts w:hint="eastAsia" w:ascii="楷体" w:hAnsi="楷体" w:eastAsia="楷体" w:cs="楷体"/>
          <w:color w:val="auto"/>
          <w:spacing w:val="12"/>
          <w:sz w:val="24"/>
          <w:szCs w:val="24"/>
          <w:highlight w:val="none"/>
          <w:u w:val="single"/>
          <w:lang w:val="en-US" w:eastAsia="zh-CN"/>
        </w:rPr>
        <w:t xml:space="preserve">   </w:t>
      </w:r>
      <w:r>
        <w:rPr>
          <w:rFonts w:hint="eastAsia" w:ascii="楷体" w:hAnsi="楷体" w:eastAsia="楷体" w:cs="楷体"/>
          <w:color w:val="auto"/>
          <w:spacing w:val="12"/>
          <w:sz w:val="24"/>
          <w:szCs w:val="24"/>
          <w:highlight w:val="none"/>
        </w:rPr>
        <w:t>%的违约金。</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2、供方所交的货物品种、型号、规格、质量不符合合同规定标准的，需方有权拒收，因拒收而耽搁的时间及造成的一切损失由供方负责。</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3、供方不能交付合同规定的货物时，供方向需方偿付货款总额</w:t>
      </w:r>
      <w:r>
        <w:rPr>
          <w:rFonts w:hint="eastAsia" w:ascii="楷体" w:hAnsi="楷体" w:eastAsia="楷体" w:cs="楷体"/>
          <w:color w:val="auto"/>
          <w:spacing w:val="12"/>
          <w:sz w:val="24"/>
          <w:szCs w:val="24"/>
          <w:highlight w:val="none"/>
          <w:u w:val="single"/>
          <w:lang w:val="en-US" w:eastAsia="zh-CN"/>
        </w:rPr>
        <w:t xml:space="preserve">  </w:t>
      </w:r>
      <w:r>
        <w:rPr>
          <w:rFonts w:hint="eastAsia" w:ascii="楷体" w:hAnsi="楷体" w:eastAsia="楷体" w:cs="楷体"/>
          <w:color w:val="auto"/>
          <w:spacing w:val="12"/>
          <w:sz w:val="24"/>
          <w:szCs w:val="24"/>
          <w:highlight w:val="none"/>
          <w:lang w:val="en-US" w:eastAsia="zh-CN"/>
        </w:rPr>
        <w:t xml:space="preserve"> </w:t>
      </w:r>
      <w:r>
        <w:rPr>
          <w:rFonts w:hint="eastAsia" w:ascii="楷体" w:hAnsi="楷体" w:eastAsia="楷体" w:cs="楷体"/>
          <w:color w:val="auto"/>
          <w:spacing w:val="12"/>
          <w:sz w:val="24"/>
          <w:szCs w:val="24"/>
          <w:highlight w:val="none"/>
        </w:rPr>
        <w:t>%的违约金。</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4、供方逾期交付货物时，每逾1日供方向需方偿付货款总额</w:t>
      </w:r>
      <w:r>
        <w:rPr>
          <w:rFonts w:hint="eastAsia" w:ascii="楷体" w:hAnsi="楷体" w:eastAsia="楷体" w:cs="楷体"/>
          <w:color w:val="auto"/>
          <w:spacing w:val="12"/>
          <w:sz w:val="24"/>
          <w:szCs w:val="24"/>
          <w:highlight w:val="none"/>
          <w:u w:val="single"/>
          <w:lang w:val="en-US" w:eastAsia="zh-CN"/>
        </w:rPr>
        <w:t xml:space="preserve">   </w:t>
      </w:r>
      <w:r>
        <w:rPr>
          <w:rFonts w:hint="eastAsia" w:ascii="楷体" w:hAnsi="楷体" w:eastAsia="楷体" w:cs="楷体"/>
          <w:color w:val="auto"/>
          <w:spacing w:val="12"/>
          <w:sz w:val="24"/>
          <w:szCs w:val="24"/>
          <w:highlight w:val="none"/>
        </w:rPr>
        <w:t>‰的滞纳金。逾期交货超过20天后，双方经过协商或由仲裁机构决定是否继续履行合同；如解除合同，按第六项第3条执行。</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七、在执行合同期限内，任何一方因不可抗力事件造成不能履行合同时，应立即通知对方，并尽快寄送有关权威机构出具的证明，则合同履行期可延长，其延长期与不可抗力影响期相同。不可抗力事件延续30天及以上，供需双方应通过友好协商的方法决定是否继续履行合同事宜。</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八、各方应严格遵守招标文件和</w:t>
      </w:r>
      <w:r>
        <w:rPr>
          <w:rFonts w:hint="eastAsia" w:ascii="楷体" w:hAnsi="楷体" w:eastAsia="楷体" w:cs="楷体"/>
          <w:color w:val="auto"/>
          <w:spacing w:val="12"/>
          <w:sz w:val="24"/>
          <w:szCs w:val="24"/>
          <w:highlight w:val="none"/>
          <w:lang w:eastAsia="zh-CN"/>
        </w:rPr>
        <w:t>响应文件</w:t>
      </w:r>
      <w:r>
        <w:rPr>
          <w:rFonts w:hint="eastAsia" w:ascii="楷体" w:hAnsi="楷体" w:eastAsia="楷体" w:cs="楷体"/>
          <w:color w:val="auto"/>
          <w:spacing w:val="12"/>
          <w:sz w:val="24"/>
          <w:szCs w:val="24"/>
          <w:highlight w:val="none"/>
        </w:rPr>
        <w:t>及本合同约定的权利、义务。</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九、招标文件、</w:t>
      </w:r>
      <w:r>
        <w:rPr>
          <w:rFonts w:hint="eastAsia" w:ascii="楷体" w:hAnsi="楷体" w:eastAsia="楷体" w:cs="楷体"/>
          <w:color w:val="auto"/>
          <w:spacing w:val="12"/>
          <w:sz w:val="24"/>
          <w:szCs w:val="24"/>
          <w:highlight w:val="none"/>
          <w:lang w:eastAsia="zh-CN"/>
        </w:rPr>
        <w:t>响应文件</w:t>
      </w:r>
      <w:r>
        <w:rPr>
          <w:rFonts w:hint="eastAsia" w:ascii="楷体" w:hAnsi="楷体" w:eastAsia="楷体" w:cs="楷体"/>
          <w:color w:val="auto"/>
          <w:spacing w:val="12"/>
          <w:sz w:val="24"/>
          <w:szCs w:val="24"/>
          <w:highlight w:val="none"/>
        </w:rPr>
        <w:t>及澄清文件等均作为合同的组成部分，各方必须全面遵守，如有违反，应承担违约责任。</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十、因货物的质量问题发生争议时，以有关权威技术质量鉴定单位的鉴定结果为准。</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十一、本合同发生争议时，应本着友好的原则协商解决；协商达不成协议产生的诉讼，由</w:t>
      </w:r>
      <w:r>
        <w:rPr>
          <w:rFonts w:hint="eastAsia" w:ascii="楷体" w:hAnsi="楷体" w:eastAsia="楷体" w:cs="楷体"/>
          <w:color w:val="auto"/>
          <w:spacing w:val="12"/>
          <w:sz w:val="24"/>
          <w:szCs w:val="24"/>
          <w:highlight w:val="none"/>
          <w:lang w:val="en-US" w:eastAsia="zh-CN"/>
        </w:rPr>
        <w:t>项目发生地</w:t>
      </w:r>
      <w:r>
        <w:rPr>
          <w:rFonts w:hint="eastAsia" w:ascii="楷体" w:hAnsi="楷体" w:eastAsia="楷体" w:cs="楷体"/>
          <w:color w:val="auto"/>
          <w:spacing w:val="12"/>
          <w:sz w:val="24"/>
          <w:szCs w:val="24"/>
          <w:highlight w:val="none"/>
        </w:rPr>
        <w:t>人民法院管辖。</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十二、本合同签订地点为</w:t>
      </w:r>
      <w:r>
        <w:rPr>
          <w:rFonts w:hint="eastAsia" w:ascii="楷体" w:hAnsi="楷体" w:eastAsia="楷体" w:cs="楷体"/>
          <w:color w:val="auto"/>
          <w:spacing w:val="12"/>
          <w:sz w:val="24"/>
          <w:szCs w:val="24"/>
          <w:highlight w:val="none"/>
          <w:u w:val="single"/>
          <w:lang w:val="en-US" w:eastAsia="zh-CN"/>
        </w:rPr>
        <w:t xml:space="preserve">             </w:t>
      </w:r>
      <w:r>
        <w:rPr>
          <w:rFonts w:hint="eastAsia" w:ascii="楷体" w:hAnsi="楷体" w:eastAsia="楷体" w:cs="楷体"/>
          <w:color w:val="auto"/>
          <w:spacing w:val="12"/>
          <w:sz w:val="24"/>
          <w:szCs w:val="24"/>
          <w:highlight w:val="none"/>
        </w:rPr>
        <w:t>。</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十三、本项目的招标文件及澄清和声明均作为本合同的补充条款，本合同未尽事宜，按《中华人民共和国民法典》有关规定办理。</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十四、合同一经双方法定代表人或委托代理人签字，并加盖公章即为生效。合同一式四份，需方二份，供方二份，效力相同。</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 xml:space="preserve">需    方：                        供    方： </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地    址：                        地    址：</w:t>
      </w:r>
    </w:p>
    <w:p>
      <w:pPr>
        <w:pageBreakBefore w:val="0"/>
        <w:tabs>
          <w:tab w:val="left" w:pos="4820"/>
        </w:tabs>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需方代表：                        供方代表：</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电    话：                        电    话：</w:t>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开户银行：                        开户银行：</w:t>
      </w:r>
      <w:r>
        <w:rPr>
          <w:rFonts w:hint="eastAsia" w:ascii="楷体" w:hAnsi="楷体" w:eastAsia="楷体" w:cs="楷体"/>
          <w:color w:val="auto"/>
          <w:spacing w:val="12"/>
          <w:sz w:val="24"/>
          <w:szCs w:val="24"/>
          <w:highlight w:val="none"/>
        </w:rPr>
        <w:tab/>
      </w:r>
    </w:p>
    <w:p>
      <w:pPr>
        <w:pageBreakBefore w:val="0"/>
        <w:kinsoku/>
        <w:wordWrap/>
        <w:overflowPunct/>
        <w:topLinePunct w:val="0"/>
        <w:bidi w:val="0"/>
        <w:snapToGrid w:val="0"/>
        <w:spacing w:line="560" w:lineRule="exact"/>
        <w:rPr>
          <w:rFonts w:hint="eastAsia" w:ascii="楷体" w:hAnsi="楷体" w:eastAsia="楷体" w:cs="楷体"/>
          <w:color w:val="auto"/>
          <w:spacing w:val="12"/>
          <w:sz w:val="24"/>
          <w:szCs w:val="24"/>
          <w:highlight w:val="none"/>
        </w:rPr>
      </w:pPr>
      <w:r>
        <w:rPr>
          <w:rFonts w:hint="eastAsia" w:ascii="楷体" w:hAnsi="楷体" w:eastAsia="楷体" w:cs="楷体"/>
          <w:color w:val="auto"/>
          <w:spacing w:val="12"/>
          <w:sz w:val="24"/>
          <w:szCs w:val="24"/>
          <w:highlight w:val="none"/>
        </w:rPr>
        <w:t>账    号：                        账    号：</w:t>
      </w:r>
    </w:p>
    <w:p>
      <w:pPr>
        <w:pageBreakBefore w:val="0"/>
        <w:kinsoku/>
        <w:wordWrap/>
        <w:overflowPunct/>
        <w:topLinePunct w:val="0"/>
        <w:bidi w:val="0"/>
        <w:snapToGrid w:val="0"/>
        <w:spacing w:line="560" w:lineRule="exact"/>
        <w:jc w:val="left"/>
        <w:rPr>
          <w:rFonts w:hint="eastAsia" w:ascii="楷体" w:hAnsi="楷体" w:eastAsia="楷体" w:cs="楷体"/>
          <w:color w:val="auto"/>
          <w:highlight w:val="none"/>
        </w:rPr>
      </w:pPr>
      <w:r>
        <w:rPr>
          <w:rFonts w:hint="eastAsia" w:ascii="楷体" w:hAnsi="楷体" w:eastAsia="楷体" w:cs="楷体"/>
          <w:color w:val="auto"/>
          <w:spacing w:val="12"/>
          <w:sz w:val="24"/>
          <w:szCs w:val="24"/>
          <w:highlight w:val="none"/>
        </w:rPr>
        <w:t>日    期：   年  月   日          日    期：  年  月  日</w:t>
      </w:r>
    </w:p>
    <w:p>
      <w:pPr>
        <w:pageBreakBefore w:val="0"/>
        <w:kinsoku/>
        <w:wordWrap/>
        <w:overflowPunct/>
        <w:topLinePunct w:val="0"/>
        <w:bidi w:val="0"/>
        <w:snapToGrid w:val="0"/>
        <w:spacing w:line="560" w:lineRule="exact"/>
        <w:rPr>
          <w:rFonts w:hint="eastAsia" w:ascii="楷体" w:hAnsi="楷体" w:eastAsia="楷体" w:cs="楷体"/>
          <w:color w:val="auto"/>
          <w:highlight w:val="none"/>
        </w:rPr>
      </w:pPr>
      <w:r>
        <w:rPr>
          <w:rFonts w:hint="eastAsia" w:ascii="楷体" w:hAnsi="楷体" w:eastAsia="楷体" w:cs="楷体"/>
          <w:color w:val="auto"/>
          <w:highlight w:val="none"/>
        </w:rPr>
        <w:br w:type="page"/>
      </w:r>
    </w:p>
    <w:p>
      <w:pPr>
        <w:pStyle w:val="3"/>
        <w:pageBreakBefore w:val="0"/>
        <w:numPr>
          <w:ilvl w:val="0"/>
          <w:numId w:val="0"/>
        </w:numPr>
        <w:kinsoku/>
        <w:wordWrap/>
        <w:overflowPunct/>
        <w:topLinePunct w:val="0"/>
        <w:bidi w:val="0"/>
        <w:snapToGrid w:val="0"/>
        <w:spacing w:before="312" w:after="312" w:line="560" w:lineRule="exact"/>
        <w:ind w:left="3360" w:leftChars="0"/>
        <w:jc w:val="both"/>
        <w:rPr>
          <w:rFonts w:hint="eastAsia" w:ascii="楷体" w:hAnsi="楷体" w:eastAsia="楷体" w:cs="楷体"/>
          <w:color w:val="auto"/>
          <w:highlight w:val="none"/>
        </w:rPr>
      </w:pPr>
      <w:r>
        <w:rPr>
          <w:rFonts w:hint="eastAsia" w:ascii="楷体" w:hAnsi="楷体" w:eastAsia="楷体" w:cs="楷体"/>
          <w:color w:val="auto"/>
          <w:highlight w:val="none"/>
          <w:lang w:eastAsia="zh-CN"/>
        </w:rPr>
        <w:t>第四章</w:t>
      </w:r>
      <w:r>
        <w:rPr>
          <w:rFonts w:hint="eastAsia" w:ascii="楷体" w:hAnsi="楷体" w:eastAsia="楷体" w:cs="楷体"/>
          <w:color w:val="auto"/>
          <w:highlight w:val="none"/>
        </w:rPr>
        <w:t xml:space="preserve"> </w:t>
      </w:r>
      <w:bookmarkStart w:id="136" w:name="_Toc15327"/>
      <w:bookmarkStart w:id="137" w:name="_Toc26103"/>
      <w:r>
        <w:rPr>
          <w:rFonts w:hint="eastAsia" w:ascii="楷体" w:hAnsi="楷体" w:eastAsia="楷体" w:cs="楷体"/>
          <w:color w:val="auto"/>
          <w:highlight w:val="none"/>
        </w:rPr>
        <w:t>采购需求</w:t>
      </w:r>
      <w:bookmarkEnd w:id="131"/>
      <w:bookmarkEnd w:id="136"/>
      <w:bookmarkEnd w:id="137"/>
    </w:p>
    <w:p>
      <w:pPr>
        <w:pageBreakBefore w:val="0"/>
        <w:numPr>
          <w:ilvl w:val="0"/>
          <w:numId w:val="3"/>
        </w:numPr>
        <w:kinsoku/>
        <w:wordWrap/>
        <w:overflowPunct/>
        <w:topLinePunct w:val="0"/>
        <w:bidi w:val="0"/>
        <w:snapToGrid w:val="0"/>
        <w:spacing w:line="560" w:lineRule="exact"/>
        <w:ind w:firstLine="562" w:firstLineChars="200"/>
        <w:rPr>
          <w:rFonts w:hint="eastAsia"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lang w:val="en-US" w:eastAsia="zh-CN"/>
        </w:rPr>
        <w:t>项目背景</w:t>
      </w:r>
    </w:p>
    <w:p>
      <w:pPr>
        <w:pageBreakBefore w:val="0"/>
        <w:shd w:val="clear" w:color="auto" w:fill="FFFFFF"/>
        <w:kinsoku/>
        <w:wordWrap/>
        <w:overflowPunct/>
        <w:topLinePunct w:val="0"/>
        <w:bidi w:val="0"/>
        <w:snapToGrid w:val="0"/>
        <w:spacing w:line="560" w:lineRule="exact"/>
        <w:ind w:firstLine="480" w:firstLineChars="200"/>
        <w:jc w:val="both"/>
        <w:rPr>
          <w:rFonts w:hint="eastAsia"/>
          <w:lang w:val="en-US" w:eastAsia="zh-CN"/>
        </w:rPr>
      </w:pPr>
      <w:r>
        <w:rPr>
          <w:rFonts w:hint="eastAsia" w:ascii="楷体" w:hAnsi="楷体" w:eastAsia="楷体" w:cs="楷体"/>
          <w:color w:val="auto"/>
          <w:sz w:val="24"/>
          <w:szCs w:val="24"/>
          <w:highlight w:val="none"/>
          <w:lang w:val="en-US" w:eastAsia="zh-Hans"/>
        </w:rPr>
        <w:t>根据中共中央办公厅印发《关于加强公立医院党的建设工作的意见》</w:t>
      </w:r>
      <w:r>
        <w:rPr>
          <w:rFonts w:hint="eastAsia" w:ascii="楷体" w:hAnsi="楷体" w:eastAsia="楷体" w:cs="楷体"/>
          <w:color w:val="auto"/>
          <w:sz w:val="24"/>
          <w:szCs w:val="24"/>
          <w:highlight w:val="none"/>
          <w:lang w:val="en-US" w:eastAsia="zh-CN"/>
        </w:rPr>
        <w:t>、《河南省清廉医院建设实施方案》等文件精神要求，进一步加强行风建设信息化管理</w:t>
      </w:r>
      <w:r>
        <w:rPr>
          <w:rFonts w:hint="eastAsia" w:ascii="楷体" w:hAnsi="楷体" w:eastAsia="楷体" w:cs="楷体"/>
          <w:color w:val="auto"/>
          <w:sz w:val="24"/>
          <w:szCs w:val="24"/>
          <w:highlight w:val="none"/>
          <w:lang w:val="en-US" w:eastAsia="zh-Hans"/>
        </w:rPr>
        <w:t>。</w:t>
      </w:r>
      <w:r>
        <w:rPr>
          <w:rFonts w:hint="eastAsia" w:ascii="楷体" w:hAnsi="楷体" w:eastAsia="楷体" w:cs="楷体"/>
          <w:color w:val="auto"/>
          <w:sz w:val="24"/>
          <w:szCs w:val="24"/>
          <w:highlight w:val="none"/>
          <w:lang w:val="en-US" w:eastAsia="zh-CN"/>
        </w:rPr>
        <w:t>重点对医院纪检监察监督体系依托信息化进行智慧管理、创新性管理、科学化管理、精细化管理</w:t>
      </w:r>
      <w:r>
        <w:rPr>
          <w:rFonts w:hint="eastAsia" w:ascii="楷体" w:hAnsi="楷体" w:eastAsia="楷体" w:cs="楷体"/>
          <w:color w:val="auto"/>
          <w:sz w:val="24"/>
          <w:szCs w:val="24"/>
          <w:highlight w:val="none"/>
          <w:lang w:val="en-US" w:eastAsia="zh-Hans"/>
        </w:rPr>
        <w:t>。</w:t>
      </w:r>
      <w:r>
        <w:rPr>
          <w:rFonts w:hint="eastAsia" w:ascii="楷体" w:hAnsi="楷体" w:eastAsia="楷体" w:cs="楷体"/>
          <w:color w:val="auto"/>
          <w:sz w:val="24"/>
          <w:szCs w:val="24"/>
          <w:highlight w:val="none"/>
          <w:lang w:val="en-US" w:eastAsia="zh-CN"/>
        </w:rPr>
        <w:t>促使医院采购和医疗服务中的不正之风得到有效治理，医疗服务行为规范有序，权力运行阳光高效</w:t>
      </w:r>
      <w:r>
        <w:rPr>
          <w:rFonts w:hint="eastAsia" w:ascii="楷体" w:hAnsi="楷体" w:eastAsia="楷体" w:cs="楷体"/>
          <w:color w:val="auto"/>
          <w:sz w:val="24"/>
          <w:szCs w:val="24"/>
          <w:highlight w:val="none"/>
          <w:lang w:val="en-US" w:eastAsia="zh-Hans"/>
        </w:rPr>
        <w:t>。</w:t>
      </w:r>
      <w:r>
        <w:rPr>
          <w:rFonts w:hint="eastAsia" w:ascii="楷体" w:hAnsi="楷体" w:eastAsia="楷体" w:cs="楷体"/>
          <w:color w:val="auto"/>
          <w:sz w:val="24"/>
          <w:szCs w:val="24"/>
          <w:highlight w:val="none"/>
          <w:lang w:val="en-US" w:eastAsia="zh-CN"/>
        </w:rPr>
        <w:t>坚持标本兼治、源头治理，坚持系统施策、综合监管</w:t>
      </w:r>
      <w:r>
        <w:rPr>
          <w:rFonts w:hint="eastAsia" w:ascii="楷体" w:hAnsi="楷体" w:eastAsia="楷体" w:cs="楷体"/>
          <w:color w:val="auto"/>
          <w:sz w:val="24"/>
          <w:szCs w:val="24"/>
          <w:highlight w:val="none"/>
          <w:lang w:val="en-US" w:eastAsia="zh-Hans"/>
        </w:rPr>
        <w:t>。</w:t>
      </w:r>
      <w:r>
        <w:rPr>
          <w:rFonts w:hint="eastAsia" w:ascii="楷体" w:hAnsi="楷体" w:eastAsia="楷体" w:cs="楷体"/>
          <w:color w:val="auto"/>
          <w:sz w:val="24"/>
          <w:szCs w:val="24"/>
          <w:highlight w:val="none"/>
          <w:lang w:val="en-US" w:eastAsia="zh-CN"/>
        </w:rPr>
        <w:t>以人民群众反映强烈的问题为切入点，以坚决查处违纪行为和情节严重、影响恶劣的典型案例为重点，纠建并举，标本兼治，持续纠治不正之风</w:t>
      </w:r>
      <w:r>
        <w:rPr>
          <w:rFonts w:hint="eastAsia" w:ascii="楷体" w:hAnsi="楷体" w:eastAsia="楷体" w:cs="楷体"/>
          <w:color w:val="auto"/>
          <w:sz w:val="24"/>
          <w:szCs w:val="24"/>
          <w:highlight w:val="none"/>
          <w:lang w:val="en-US" w:eastAsia="zh-Hans"/>
        </w:rPr>
        <w:t>。</w:t>
      </w:r>
      <w:r>
        <w:rPr>
          <w:rFonts w:hint="eastAsia" w:ascii="楷体" w:hAnsi="楷体" w:eastAsia="楷体" w:cs="楷体"/>
          <w:color w:val="auto"/>
          <w:sz w:val="24"/>
          <w:szCs w:val="24"/>
          <w:highlight w:val="none"/>
          <w:lang w:val="en-US" w:eastAsia="zh-CN"/>
        </w:rPr>
        <w:t>不断提升患者就医体验，增强群众获得感，推动医院行风工作不断取得新成效，保障医疗卫生事业高质量发展。</w:t>
      </w:r>
    </w:p>
    <w:p>
      <w:pPr>
        <w:pageBreakBefore w:val="0"/>
        <w:numPr>
          <w:ilvl w:val="0"/>
          <w:numId w:val="0"/>
        </w:numPr>
        <w:kinsoku/>
        <w:wordWrap/>
        <w:overflowPunct/>
        <w:topLinePunct w:val="0"/>
        <w:bidi w:val="0"/>
        <w:snapToGrid w:val="0"/>
        <w:spacing w:line="560" w:lineRule="exact"/>
        <w:ind w:firstLine="281" w:firstLineChars="100"/>
        <w:jc w:val="both"/>
        <w:rPr>
          <w:rFonts w:hint="eastAsia"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lang w:val="en-US" w:eastAsia="zh-CN"/>
        </w:rPr>
        <w:t>二、技术要求</w:t>
      </w:r>
    </w:p>
    <w:tbl>
      <w:tblPr>
        <w:tblStyle w:val="3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70"/>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楷体"/>
                <w:b/>
                <w:spacing w:val="8"/>
                <w:sz w:val="24"/>
                <w:szCs w:val="24"/>
                <w:shd w:val="clear" w:color="auto" w:fill="FFFFFF"/>
              </w:rPr>
            </w:pPr>
            <w:r>
              <w:rPr>
                <w:rFonts w:hint="eastAsia" w:ascii="楷体" w:hAnsi="楷体" w:eastAsia="楷体" w:cs="楷体"/>
                <w:b/>
                <w:spacing w:val="8"/>
                <w:sz w:val="24"/>
                <w:szCs w:val="24"/>
                <w:shd w:val="clear" w:color="auto" w:fill="FFFFFF"/>
              </w:rPr>
              <w:t>序号</w:t>
            </w:r>
          </w:p>
        </w:tc>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楷体"/>
                <w:b/>
                <w:spacing w:val="8"/>
                <w:sz w:val="24"/>
                <w:szCs w:val="24"/>
                <w:shd w:val="clear" w:color="auto" w:fill="FFFFFF"/>
              </w:rPr>
            </w:pPr>
            <w:r>
              <w:rPr>
                <w:rFonts w:hint="eastAsia" w:ascii="楷体" w:hAnsi="楷体" w:eastAsia="楷体" w:cs="楷体"/>
                <w:b/>
                <w:spacing w:val="8"/>
                <w:sz w:val="24"/>
                <w:szCs w:val="24"/>
                <w:shd w:val="clear" w:color="auto" w:fill="FFFFFF"/>
              </w:rPr>
              <w:t>功能模块</w:t>
            </w:r>
          </w:p>
        </w:tc>
        <w:tc>
          <w:tcPr>
            <w:tcW w:w="61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楷体"/>
                <w:b/>
                <w:spacing w:val="8"/>
                <w:sz w:val="24"/>
                <w:szCs w:val="24"/>
                <w:shd w:val="clear" w:color="auto" w:fill="FFFFFF"/>
              </w:rPr>
            </w:pPr>
            <w:r>
              <w:rPr>
                <w:rFonts w:hint="eastAsia" w:ascii="楷体" w:hAnsi="楷体" w:eastAsia="楷体" w:cs="楷体"/>
                <w:b/>
                <w:spacing w:val="8"/>
                <w:sz w:val="24"/>
                <w:szCs w:val="24"/>
                <w:shd w:val="clear" w:color="auto" w:fill="FFFFFF"/>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pacing w:line="360" w:lineRule="auto"/>
              <w:jc w:val="center"/>
              <w:rPr>
                <w:rFonts w:hint="eastAsia" w:ascii="楷体" w:hAnsi="楷体" w:eastAsia="楷体" w:cs="楷体"/>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楷体"/>
                <w:spacing w:val="8"/>
                <w:sz w:val="24"/>
                <w:szCs w:val="24"/>
                <w:shd w:val="clear" w:color="auto" w:fill="FFFFFF"/>
                <w:lang w:val="en-US" w:eastAsia="zh-CN"/>
              </w:rPr>
            </w:pPr>
            <w:r>
              <w:rPr>
                <w:rFonts w:hint="eastAsia" w:ascii="楷体" w:hAnsi="楷体" w:eastAsia="楷体" w:cs="楷体"/>
                <w:spacing w:val="8"/>
                <w:sz w:val="24"/>
                <w:szCs w:val="24"/>
                <w:shd w:val="clear" w:color="auto" w:fill="FFFFFF"/>
              </w:rPr>
              <w:t>廉洁警示教育</w:t>
            </w:r>
          </w:p>
        </w:tc>
        <w:tc>
          <w:tcPr>
            <w:tcW w:w="6193"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rPr>
              <w:t>满足医院通过互联网+等技术建立新形式的医院党风廉政、廉洁宣传警示教育的工作要求</w:t>
            </w:r>
            <w:r>
              <w:rPr>
                <w:rFonts w:hint="eastAsia" w:ascii="楷体" w:hAnsi="楷体" w:eastAsia="楷体" w:cs="楷体"/>
                <w:spacing w:val="8"/>
                <w:sz w:val="24"/>
                <w:szCs w:val="24"/>
                <w:shd w:val="clear" w:color="auto" w:fill="FFFFFF"/>
                <w:lang w:eastAsia="zh-Hans"/>
              </w:rPr>
              <w:t>；</w:t>
            </w:r>
          </w:p>
          <w:p>
            <w:pPr>
              <w:numPr>
                <w:ilvl w:val="0"/>
                <w:numId w:val="5"/>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highlight w:val="none"/>
                <w:shd w:val="clear" w:color="auto" w:fill="FFFFFF"/>
                <w:lang w:val="en-US" w:eastAsia="zh-Hans"/>
              </w:rPr>
              <w:t>具备</w:t>
            </w:r>
            <w:r>
              <w:rPr>
                <w:rFonts w:hint="eastAsia" w:ascii="楷体" w:hAnsi="楷体" w:eastAsia="楷体" w:cs="楷体"/>
                <w:spacing w:val="8"/>
                <w:sz w:val="24"/>
                <w:szCs w:val="24"/>
                <w:shd w:val="clear" w:color="auto" w:fill="FFFFFF"/>
              </w:rPr>
              <w:t>廉洁教育栏目灵活配置功能</w:t>
            </w:r>
            <w:r>
              <w:rPr>
                <w:rFonts w:hint="eastAsia" w:ascii="楷体" w:hAnsi="楷体" w:eastAsia="楷体" w:cs="楷体"/>
                <w:spacing w:val="8"/>
                <w:sz w:val="24"/>
                <w:szCs w:val="24"/>
                <w:shd w:val="clear" w:color="auto" w:fill="FFFFFF"/>
                <w:lang w:eastAsia="zh-Hans"/>
              </w:rPr>
              <w:t>；</w:t>
            </w:r>
          </w:p>
          <w:p>
            <w:pPr>
              <w:numPr>
                <w:ilvl w:val="0"/>
                <w:numId w:val="5"/>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视频、文案、漫画等多种形式的宣教内容</w:t>
            </w:r>
            <w:r>
              <w:rPr>
                <w:rFonts w:hint="eastAsia" w:ascii="楷体" w:hAnsi="楷体" w:eastAsia="楷体" w:cs="楷体"/>
                <w:spacing w:val="8"/>
                <w:sz w:val="24"/>
                <w:szCs w:val="24"/>
                <w:shd w:val="clear" w:color="auto" w:fill="FFFFFF"/>
                <w:lang w:eastAsia="zh-Hans"/>
              </w:rPr>
              <w:t>；</w:t>
            </w:r>
          </w:p>
          <w:p>
            <w:pPr>
              <w:numPr>
                <w:ilvl w:val="0"/>
                <w:numId w:val="5"/>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宣教内容编辑暂存功能</w:t>
            </w:r>
            <w:r>
              <w:rPr>
                <w:rFonts w:hint="eastAsia" w:ascii="楷体" w:hAnsi="楷体" w:eastAsia="楷体" w:cs="楷体"/>
                <w:spacing w:val="8"/>
                <w:sz w:val="24"/>
                <w:szCs w:val="24"/>
                <w:shd w:val="clear" w:color="auto" w:fill="FFFFFF"/>
                <w:lang w:eastAsia="zh-Hans"/>
              </w:rPr>
              <w:t>；</w:t>
            </w:r>
          </w:p>
          <w:p>
            <w:pPr>
              <w:numPr>
                <w:ilvl w:val="0"/>
                <w:numId w:val="5"/>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警示教育内容指定人群进行针对性推送学习</w:t>
            </w:r>
            <w:r>
              <w:rPr>
                <w:rFonts w:hint="eastAsia" w:ascii="楷体" w:hAnsi="楷体" w:eastAsia="楷体" w:cs="楷体"/>
                <w:spacing w:val="8"/>
                <w:sz w:val="24"/>
                <w:szCs w:val="24"/>
                <w:shd w:val="clear" w:color="auto" w:fill="FFFFFF"/>
                <w:lang w:eastAsia="zh-Hans"/>
              </w:rPr>
              <w:t>；</w:t>
            </w:r>
          </w:p>
          <w:p>
            <w:pPr>
              <w:numPr>
                <w:ilvl w:val="0"/>
                <w:numId w:val="5"/>
              </w:numPr>
              <w:spacing w:line="360" w:lineRule="auto"/>
              <w:ind w:left="425" w:leftChars="0" w:hanging="425" w:firstLineChars="0"/>
              <w:rPr>
                <w:rFonts w:hint="eastAsia" w:ascii="楷体" w:hAnsi="楷体" w:eastAsia="楷体" w:cs="楷体"/>
                <w:spacing w:val="8"/>
                <w:sz w:val="24"/>
                <w:szCs w:val="24"/>
                <w:shd w:val="clear" w:color="auto" w:fill="FFFFFF"/>
                <w:lang w:val="en-US" w:eastAsia="zh-CN"/>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内容应学习时长设置功能。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pacing w:line="360" w:lineRule="auto"/>
              <w:jc w:val="center"/>
              <w:rPr>
                <w:rFonts w:hint="eastAsia" w:ascii="楷体" w:hAnsi="楷体" w:eastAsia="楷体" w:cs="楷体"/>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楷体" w:hAnsi="楷体" w:eastAsia="楷体" w:cs="楷体"/>
                <w:color w:val="000000" w:themeColor="text1"/>
                <w:spacing w:val="8"/>
                <w:sz w:val="24"/>
                <w:szCs w:val="24"/>
                <w:shd w:val="clear" w:color="auto" w:fill="FFFFFF"/>
                <w:lang w:val="en-US" w:eastAsia="zh-Hans"/>
                <w14:textFill>
                  <w14:solidFill>
                    <w14:schemeClr w14:val="tx1"/>
                  </w14:solidFill>
                </w14:textFill>
              </w:rPr>
            </w:pPr>
            <w:r>
              <w:rPr>
                <w:rFonts w:hint="eastAsia" w:ascii="楷体" w:hAnsi="楷体" w:eastAsia="楷体" w:cs="楷体"/>
                <w:color w:val="000000" w:themeColor="text1"/>
                <w:spacing w:val="8"/>
                <w:sz w:val="24"/>
                <w:szCs w:val="24"/>
                <w:shd w:val="clear" w:color="auto" w:fill="FFFFFF"/>
                <w:lang w:val="en-US" w:eastAsia="zh-Hans"/>
                <w14:textFill>
                  <w14:solidFill>
                    <w14:schemeClr w14:val="tx1"/>
                  </w14:solidFill>
                </w14:textFill>
              </w:rPr>
              <w:t>干部廉政档案</w:t>
            </w:r>
          </w:p>
        </w:tc>
        <w:tc>
          <w:tcPr>
            <w:tcW w:w="6193"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个人重大事项在线申报审核审批功能。</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廉政档案申报任务管理功能。</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廉政档案申报人员管理功能。</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个人廉政档案填报任务查询功能。</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个人廉政档案在线填报功能。</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廉政档案采集数据模板化定制</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在线对申报的档案进行审核操作</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档案查询、导出等功能。</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廉政教育档案数据与廉洁宣传警示教育模块职工参与的警示教育数据信息融合。</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干部人员廉政教育记录数据批量导入功能。</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干部投诉、信访核查情况与行风信访举报模块数据信息融合。</w:t>
            </w:r>
          </w:p>
          <w:p>
            <w:pPr>
              <w:numPr>
                <w:ilvl w:val="0"/>
                <w:numId w:val="6"/>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干部人员医德考评档案与医德医风考评模块数据信息融合。</w:t>
            </w:r>
          </w:p>
          <w:p>
            <w:pPr>
              <w:numPr>
                <w:ilvl w:val="0"/>
                <w:numId w:val="6"/>
              </w:numPr>
              <w:spacing w:line="360" w:lineRule="auto"/>
              <w:ind w:left="425" w:leftChars="0" w:hanging="425" w:firstLineChars="0"/>
              <w:rPr>
                <w:rFonts w:hint="eastAsia" w:ascii="楷体" w:hAnsi="楷体" w:eastAsia="楷体" w:cs="楷体"/>
                <w:sz w:val="24"/>
                <w:szCs w:val="24"/>
              </w:rPr>
            </w:pPr>
            <w:r>
              <w:rPr>
                <w:rFonts w:hint="eastAsia" w:ascii="楷体" w:hAnsi="楷体" w:eastAsia="楷体" w:cs="楷体"/>
                <w:spacing w:val="8"/>
                <w:sz w:val="24"/>
                <w:szCs w:val="24"/>
                <w:shd w:val="clear" w:color="auto" w:fill="FFFFFF"/>
                <w:lang w:val="en-US" w:eastAsia="zh-Hans"/>
              </w:rPr>
              <w:t>具备干部人员年度考核档案数据在线维护和批量导入功能。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833"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pacing w:line="360" w:lineRule="auto"/>
              <w:jc w:val="center"/>
              <w:rPr>
                <w:rFonts w:hint="eastAsia" w:ascii="楷体" w:hAnsi="楷体" w:eastAsia="楷体" w:cs="楷体"/>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楷体" w:hAnsi="楷体" w:eastAsia="楷体" w:cs="楷体"/>
                <w:spacing w:val="8"/>
                <w:sz w:val="24"/>
                <w:szCs w:val="24"/>
                <w:shd w:val="clear" w:color="auto" w:fill="FFFFFF"/>
              </w:rPr>
            </w:pPr>
            <w:r>
              <w:rPr>
                <w:rFonts w:hint="eastAsia" w:ascii="楷体" w:hAnsi="楷体" w:eastAsia="楷体" w:cs="楷体"/>
                <w:spacing w:val="8"/>
                <w:sz w:val="24"/>
                <w:szCs w:val="24"/>
                <w:shd w:val="clear" w:color="auto" w:fill="FFFFFF"/>
                <w:lang w:val="en-US" w:eastAsia="zh-Hans"/>
              </w:rPr>
              <w:t>患者</w:t>
            </w:r>
            <w:r>
              <w:rPr>
                <w:rFonts w:hint="eastAsia" w:ascii="楷体" w:hAnsi="楷体" w:eastAsia="楷体" w:cs="楷体"/>
                <w:spacing w:val="8"/>
                <w:sz w:val="24"/>
                <w:szCs w:val="24"/>
                <w:shd w:val="clear" w:color="auto" w:fill="FFFFFF"/>
                <w:lang w:eastAsia="zh-Hans"/>
              </w:rPr>
              <w:t>/</w:t>
            </w:r>
            <w:r>
              <w:rPr>
                <w:rFonts w:hint="eastAsia" w:ascii="楷体" w:hAnsi="楷体" w:eastAsia="楷体" w:cs="楷体"/>
                <w:spacing w:val="8"/>
                <w:sz w:val="24"/>
                <w:szCs w:val="24"/>
                <w:shd w:val="clear" w:color="auto" w:fill="FFFFFF"/>
                <w:lang w:val="en-US" w:eastAsia="zh-Hans"/>
              </w:rPr>
              <w:t>职工满意度</w:t>
            </w:r>
            <w:r>
              <w:rPr>
                <w:rFonts w:hint="eastAsia" w:ascii="楷体" w:hAnsi="楷体" w:eastAsia="楷体" w:cs="楷体"/>
                <w:spacing w:val="8"/>
                <w:sz w:val="24"/>
                <w:szCs w:val="24"/>
                <w:shd w:val="clear" w:color="auto" w:fill="FFFFFF"/>
              </w:rPr>
              <w:t>调查管理</w:t>
            </w:r>
          </w:p>
        </w:tc>
        <w:tc>
          <w:tcPr>
            <w:tcW w:w="6193"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廉情调查，职工满意度、院内调查等问卷调查管理业务需求</w:t>
            </w:r>
            <w:r>
              <w:rPr>
                <w:rFonts w:hint="eastAsia" w:ascii="楷体" w:hAnsi="楷体" w:eastAsia="楷体" w:cs="楷体"/>
                <w:spacing w:val="8"/>
                <w:sz w:val="24"/>
                <w:szCs w:val="24"/>
                <w:shd w:val="clear" w:color="auto" w:fill="FFFFFF"/>
                <w:lang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调查问卷指定下发范围功能</w:t>
            </w:r>
            <w:r>
              <w:rPr>
                <w:rFonts w:hint="eastAsia" w:ascii="楷体" w:hAnsi="楷体" w:eastAsia="楷体" w:cs="楷体"/>
                <w:spacing w:val="8"/>
                <w:sz w:val="24"/>
                <w:szCs w:val="24"/>
                <w:shd w:val="clear" w:color="auto" w:fill="FFFFFF"/>
                <w:lang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调查问卷复制功能</w:t>
            </w:r>
            <w:r>
              <w:rPr>
                <w:rFonts w:hint="eastAsia" w:ascii="楷体" w:hAnsi="楷体" w:eastAsia="楷体" w:cs="楷体"/>
                <w:spacing w:val="8"/>
                <w:sz w:val="24"/>
                <w:szCs w:val="24"/>
                <w:shd w:val="clear" w:color="auto" w:fill="FFFFFF"/>
                <w:lang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z w:val="24"/>
                <w:szCs w:val="24"/>
              </w:rPr>
              <w:t>▲</w:t>
            </w: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问卷问题与问题之间逻辑关联跳转功能</w:t>
            </w:r>
            <w:r>
              <w:rPr>
                <w:rFonts w:hint="eastAsia" w:ascii="楷体" w:hAnsi="楷体" w:eastAsia="楷体" w:cs="楷体"/>
                <w:spacing w:val="8"/>
                <w:sz w:val="24"/>
                <w:szCs w:val="24"/>
                <w:shd w:val="clear" w:color="auto" w:fill="FFFFFF"/>
                <w:lang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调查问卷内容动态维护管理</w:t>
            </w:r>
            <w:r>
              <w:rPr>
                <w:rFonts w:hint="eastAsia" w:ascii="楷体" w:hAnsi="楷体" w:eastAsia="楷体" w:cs="楷体"/>
                <w:spacing w:val="8"/>
                <w:sz w:val="24"/>
                <w:szCs w:val="24"/>
                <w:shd w:val="clear" w:color="auto" w:fill="FFFFFF"/>
                <w:lang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在线调查问卷生成、调查活动发布</w:t>
            </w:r>
            <w:r>
              <w:rPr>
                <w:rFonts w:hint="eastAsia" w:ascii="楷体" w:hAnsi="楷体" w:eastAsia="楷体" w:cs="楷体"/>
                <w:spacing w:val="8"/>
                <w:sz w:val="24"/>
                <w:szCs w:val="24"/>
                <w:shd w:val="clear" w:color="auto" w:fill="FFFFFF"/>
                <w:lang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rPr>
              <w:t>▲</w:t>
            </w:r>
            <w:r>
              <w:rPr>
                <w:rFonts w:hint="eastAsia" w:ascii="楷体" w:hAnsi="楷体" w:eastAsia="楷体" w:cs="楷体"/>
                <w:spacing w:val="8"/>
                <w:sz w:val="24"/>
                <w:szCs w:val="24"/>
                <w:shd w:val="clear" w:color="auto" w:fill="FFFFFF"/>
                <w:lang w:val="en-US" w:eastAsia="zh-Hans"/>
              </w:rPr>
              <w:t>具备职工满意度实名和匿名；</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▲具备调查问卷调查完成进度跟踪分析功能；</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支持问卷调查结果分析、自定义报表导出等功能；</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▲具备门诊、患者满意度按科室进行数据统计分析，；</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问卷调查记录明细分析功能</w:t>
            </w:r>
            <w:r>
              <w:rPr>
                <w:rFonts w:hint="eastAsia" w:ascii="楷体" w:hAnsi="楷体" w:eastAsia="楷体" w:cs="楷体"/>
                <w:spacing w:val="8"/>
                <w:sz w:val="24"/>
                <w:szCs w:val="24"/>
                <w:shd w:val="clear" w:color="auto" w:fill="FFFFFF"/>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33"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pacing w:line="360" w:lineRule="auto"/>
              <w:jc w:val="center"/>
              <w:rPr>
                <w:rFonts w:hint="eastAsia" w:ascii="楷体" w:hAnsi="楷体" w:eastAsia="楷体" w:cs="楷体"/>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药品、耗材内控管理</w:t>
            </w:r>
          </w:p>
        </w:tc>
        <w:tc>
          <w:tcPr>
            <w:tcW w:w="6193"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管理、审计用户权限分开，相应权限的用户只能查看、管理相应的系统功能，责任明确</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支持多种部署方式（串接/并接）都能够阻止客户端进行疑似的统方行为</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支持加密方式的数据库连接信息分析；</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b w:val="0"/>
                <w:bCs w:val="0"/>
                <w:sz w:val="24"/>
                <w:szCs w:val="24"/>
              </w:rPr>
              <w:t>系统从业务流程角度入手，结合核心数据特</w:t>
            </w:r>
            <w:r>
              <w:rPr>
                <w:rFonts w:hint="eastAsia" w:ascii="楷体" w:hAnsi="楷体" w:eastAsia="楷体" w:cs="楷体"/>
                <w:spacing w:val="8"/>
                <w:sz w:val="24"/>
                <w:szCs w:val="24"/>
                <w:shd w:val="clear" w:color="auto" w:fill="FFFFFF"/>
              </w:rPr>
              <w:t>征，提供了</w:t>
            </w:r>
            <w:r>
              <w:rPr>
                <w:rFonts w:hint="eastAsia" w:ascii="楷体" w:hAnsi="楷体" w:eastAsia="楷体" w:cs="楷体"/>
                <w:spacing w:val="8"/>
                <w:sz w:val="24"/>
                <w:szCs w:val="24"/>
                <w:shd w:val="clear" w:color="auto" w:fill="FFFFFF"/>
                <w:lang w:val="en-US" w:eastAsia="zh-CN"/>
              </w:rPr>
              <w:t>高度集成的“事前+事中+事后”数据防护手段</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w:t>
            </w:r>
            <w:r>
              <w:rPr>
                <w:rFonts w:hint="eastAsia" w:ascii="楷体" w:hAnsi="楷体" w:eastAsia="楷体" w:cs="楷体"/>
                <w:spacing w:val="8"/>
                <w:sz w:val="24"/>
                <w:szCs w:val="24"/>
                <w:shd w:val="clear" w:color="auto" w:fill="FFFFFF"/>
                <w:lang w:val="en-US" w:eastAsia="zh-CN"/>
              </w:rPr>
              <w:t>采用B/S架构（兼容不同种类浏览器），提供中文WEB管理界面以便于管理。并应可以根据不同的安全级别采用不同的实时告警响应方式，包括记录、消息、鸣音、邮件等，并能支持短信平台</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支持包括ASCII、Unicode、UTF-8、UTF-16、GB2312、EBCDIC等编码格式，避免因编码格式不同而导致审计报表出现乱码的情况，保证审计报表的可读性</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系统预留接口以作维护，二次开发之用</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系统能够对自身的事件（包括登录、系统参数修改、系统异常等）进行审计，可以监控和审计用户对数据库中的数据库表、视图、序列、包、存储过程、函数、库、索引、同义词、快照、触发器等的创建、修改和删除等，分析的内容精确到SQL操作语句一级</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能够出具针对纪委、监察室相关人员使用的防统方审计报告，报告内容简单明了且符合审计专业描述，可每天或多天生成报告。此功能支持将整条SQL语句翻译成中文</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内置防统方知识库，且具有独立自主统方学习功能，帮助医院深化党风廉政建设和反腐败工作,规范药品统计权限管理</w:t>
            </w:r>
            <w:r>
              <w:rPr>
                <w:rFonts w:hint="eastAsia" w:ascii="楷体" w:hAnsi="楷体" w:eastAsia="楷体" w:cs="楷体"/>
                <w:spacing w:val="8"/>
                <w:sz w:val="24"/>
                <w:szCs w:val="24"/>
                <w:shd w:val="clear" w:color="auto" w:fill="FFFFFF"/>
                <w:lang w:val="en-US" w:eastAsia="zh-Hans"/>
              </w:rPr>
              <w:t>；</w:t>
            </w:r>
          </w:p>
          <w:p>
            <w:pPr>
              <w:numPr>
                <w:ilvl w:val="0"/>
                <w:numId w:val="7"/>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在药品、医用耗材、诊疗项目和服务设施等方面，充分运用大数据监管开展回扣问题专项检查，对于查实的问题依法依规从严处理</w:t>
            </w:r>
            <w:r>
              <w:rPr>
                <w:rFonts w:hint="eastAsia" w:ascii="楷体" w:hAnsi="楷体" w:eastAsia="楷体" w:cs="楷体"/>
                <w:spacing w:val="8"/>
                <w:sz w:val="24"/>
                <w:szCs w:val="24"/>
                <w:shd w:val="clear" w:color="auto" w:fill="FFFFFF"/>
                <w:lang w:val="en-US" w:eastAsia="zh-Hans"/>
              </w:rPr>
              <w:t>；</w:t>
            </w:r>
          </w:p>
          <w:p>
            <w:pPr>
              <w:numPr>
                <w:ilvl w:val="0"/>
                <w:numId w:val="8"/>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CN"/>
              </w:rPr>
              <w:t>▲可以对某统方行为的所有操作以及结果关联起来，以报表的形式呈现给使用部门，便于使用部门分析和追溯统方事件</w:t>
            </w:r>
            <w:r>
              <w:rPr>
                <w:rFonts w:hint="eastAsia" w:ascii="楷体" w:hAnsi="楷体" w:eastAsia="楷体" w:cs="楷体"/>
                <w:spacing w:val="8"/>
                <w:sz w:val="24"/>
                <w:szCs w:val="24"/>
                <w:shd w:val="clear" w:color="auto" w:fill="FFFFFF"/>
                <w:lang w:val="en-US" w:eastAsia="zh-Hans"/>
              </w:rPr>
              <w:t>；</w:t>
            </w:r>
          </w:p>
          <w:p>
            <w:pPr>
              <w:numPr>
                <w:ilvl w:val="0"/>
                <w:numId w:val="8"/>
              </w:numPr>
              <w:spacing w:line="360" w:lineRule="auto"/>
              <w:ind w:left="425" w:leftChars="0" w:hanging="425" w:firstLineChars="0"/>
              <w:rPr>
                <w:rFonts w:hint="eastAsia" w:ascii="楷体" w:hAnsi="楷体" w:eastAsia="楷体" w:cs="楷体"/>
                <w:b w:val="0"/>
                <w:bCs w:val="0"/>
                <w:sz w:val="24"/>
                <w:szCs w:val="24"/>
                <w:lang w:val="en-US" w:eastAsia="zh-Hans"/>
              </w:rPr>
            </w:pPr>
            <w:r>
              <w:rPr>
                <w:rFonts w:hint="eastAsia" w:ascii="楷体" w:hAnsi="楷体" w:eastAsia="楷体" w:cs="楷体"/>
                <w:spacing w:val="8"/>
                <w:sz w:val="24"/>
                <w:szCs w:val="24"/>
                <w:shd w:val="clear" w:color="auto" w:fill="FFFFFF"/>
                <w:lang w:val="en-US" w:eastAsia="zh-CN"/>
              </w:rPr>
              <w:t>阻止可疑会话功能，甄别数据访问，阻止非正常数据</w:t>
            </w:r>
            <w:r>
              <w:rPr>
                <w:rFonts w:hint="eastAsia" w:ascii="楷体" w:hAnsi="楷体" w:eastAsia="楷体" w:cs="楷体"/>
                <w:b w:val="0"/>
                <w:bCs w:val="0"/>
                <w:sz w:val="24"/>
                <w:szCs w:val="24"/>
                <w:lang w:val="en-US" w:eastAsia="zh-CN"/>
              </w:rPr>
              <w:t>会话。能根据预定规则阻止SQL语句的“数据库墙”功能，如根据系统设置的客户端IP/MAC黑名单，以及数据内容中的敏感信息，实时阻止黑名单中的客户端对关键服务器的访问</w:t>
            </w:r>
            <w:r>
              <w:rPr>
                <w:rFonts w:hint="eastAsia" w:ascii="楷体" w:hAnsi="楷体" w:eastAsia="楷体" w:cs="楷体"/>
                <w:b w:val="0"/>
                <w:bCs w:val="0"/>
                <w:sz w:val="24"/>
                <w:szCs w:val="24"/>
                <w:lang w:val="en-US" w:eastAsia="zh-Hans"/>
              </w:rPr>
              <w:t>；</w:t>
            </w:r>
          </w:p>
          <w:p>
            <w:pPr>
              <w:numPr>
                <w:ilvl w:val="0"/>
                <w:numId w:val="8"/>
              </w:numPr>
              <w:spacing w:line="360" w:lineRule="auto"/>
              <w:ind w:left="425" w:leftChars="0" w:hanging="425" w:firstLineChars="0"/>
              <w:rPr>
                <w:rFonts w:hint="eastAsia" w:ascii="楷体" w:hAnsi="楷体" w:eastAsia="楷体" w:cs="楷体"/>
                <w:b w:val="0"/>
                <w:bCs w:val="0"/>
                <w:sz w:val="24"/>
                <w:szCs w:val="24"/>
                <w:lang w:val="en-US" w:eastAsia="zh-Hans"/>
              </w:rPr>
            </w:pPr>
            <w:r>
              <w:rPr>
                <w:rFonts w:hint="eastAsia" w:ascii="楷体" w:hAnsi="楷体" w:eastAsia="楷体" w:cs="楷体"/>
                <w:b w:val="0"/>
                <w:bCs w:val="0"/>
                <w:sz w:val="24"/>
                <w:szCs w:val="24"/>
                <w:lang w:val="en-US" w:eastAsia="zh-CN"/>
              </w:rPr>
              <w:t>统方白名单权限的设置，可对授权统方行为的操作人员工号、操作类型、IP地址、客户端工具、操作系统用户名、主机名、MAC地址、SQL语句和操作的时间范围等条件进行设置，只有通过了授权和验证才可以获得统方权限</w:t>
            </w:r>
            <w:r>
              <w:rPr>
                <w:rFonts w:hint="eastAsia" w:ascii="楷体" w:hAnsi="楷体" w:eastAsia="楷体" w:cs="楷体"/>
                <w:b w:val="0"/>
                <w:bCs w:val="0"/>
                <w:sz w:val="24"/>
                <w:szCs w:val="24"/>
                <w:lang w:val="en-US" w:eastAsia="zh-Hans"/>
              </w:rPr>
              <w:t>；</w:t>
            </w:r>
          </w:p>
          <w:p>
            <w:pPr>
              <w:numPr>
                <w:ilvl w:val="0"/>
                <w:numId w:val="8"/>
              </w:numPr>
              <w:spacing w:line="360" w:lineRule="auto"/>
              <w:ind w:left="425" w:leftChars="0" w:hanging="425" w:firstLineChars="0"/>
              <w:rPr>
                <w:rFonts w:hint="eastAsia" w:ascii="楷体" w:hAnsi="楷体" w:eastAsia="楷体" w:cs="楷体"/>
                <w:b w:val="0"/>
                <w:bCs w:val="0"/>
                <w:sz w:val="24"/>
                <w:szCs w:val="24"/>
                <w:lang w:val="en-US" w:eastAsia="zh-Hans"/>
              </w:rPr>
            </w:pPr>
            <w:r>
              <w:rPr>
                <w:rFonts w:hint="eastAsia" w:ascii="楷体" w:hAnsi="楷体" w:eastAsia="楷体" w:cs="楷体"/>
                <w:b w:val="0"/>
                <w:bCs w:val="0"/>
                <w:sz w:val="24"/>
                <w:szCs w:val="24"/>
                <w:lang w:val="en-US" w:eastAsia="zh-CN"/>
              </w:rPr>
              <w:t>▲系统支持对指定时间内全院抗菌药物、试剂及耗材的品种、剂型、规格、使用量、使用金额，使用量和使用金额分别排名前N位的品种进行分析，自动生成报表</w:t>
            </w:r>
            <w:r>
              <w:rPr>
                <w:rFonts w:hint="eastAsia" w:ascii="楷体" w:hAnsi="楷体" w:eastAsia="楷体" w:cs="楷体"/>
                <w:b w:val="0"/>
                <w:bCs w:val="0"/>
                <w:sz w:val="24"/>
                <w:szCs w:val="24"/>
                <w:lang w:val="en-US" w:eastAsia="zh-Hans"/>
              </w:rPr>
              <w:t>；</w:t>
            </w:r>
          </w:p>
          <w:p>
            <w:pPr>
              <w:numPr>
                <w:ilvl w:val="0"/>
                <w:numId w:val="8"/>
              </w:numPr>
              <w:spacing w:line="360" w:lineRule="auto"/>
              <w:ind w:left="425" w:leftChars="0" w:hanging="425" w:firstLineChars="0"/>
              <w:rPr>
                <w:rFonts w:hint="eastAsia" w:ascii="楷体" w:hAnsi="楷体" w:eastAsia="楷体" w:cs="楷体"/>
                <w:b w:val="0"/>
                <w:bCs w:val="0"/>
                <w:sz w:val="24"/>
                <w:szCs w:val="24"/>
                <w:lang w:val="en-US" w:eastAsia="zh-Hans"/>
              </w:rPr>
            </w:pPr>
            <w:r>
              <w:rPr>
                <w:rFonts w:hint="eastAsia" w:ascii="楷体" w:hAnsi="楷体" w:eastAsia="楷体" w:cs="楷体"/>
                <w:b w:val="0"/>
                <w:bCs w:val="0"/>
                <w:sz w:val="24"/>
                <w:szCs w:val="24"/>
                <w:lang w:val="en-US" w:eastAsia="zh-CN"/>
              </w:rPr>
              <w:t>▲可根据用户自定义规则实时发出手机短信通知和邮件提醒等多种方式的告警信息，为了告警的及时性和稳定性，提供防统方专用短信平台模块（非SIM卡插入方式的短信模块，报价含所有短信费用）</w:t>
            </w:r>
            <w:r>
              <w:rPr>
                <w:rFonts w:hint="eastAsia" w:ascii="楷体" w:hAnsi="楷体" w:eastAsia="楷体" w:cs="楷体"/>
                <w:b w:val="0"/>
                <w:bCs w:val="0"/>
                <w:sz w:val="24"/>
                <w:szCs w:val="24"/>
                <w:lang w:val="en-US" w:eastAsia="zh-Hans"/>
              </w:rPr>
              <w:t>；</w:t>
            </w:r>
          </w:p>
          <w:p>
            <w:pPr>
              <w:numPr>
                <w:ilvl w:val="0"/>
                <w:numId w:val="8"/>
              </w:numPr>
              <w:spacing w:line="360" w:lineRule="auto"/>
              <w:ind w:left="425" w:leftChars="0" w:hanging="425" w:firstLineChars="0"/>
              <w:rPr>
                <w:rFonts w:hint="eastAsia" w:ascii="楷体" w:hAnsi="楷体" w:eastAsia="楷体" w:cs="楷体"/>
                <w:b w:val="0"/>
                <w:bCs w:val="0"/>
                <w:sz w:val="24"/>
                <w:szCs w:val="24"/>
                <w:lang w:val="en-US" w:eastAsia="zh-Hans"/>
              </w:rPr>
            </w:pPr>
            <w:r>
              <w:rPr>
                <w:rFonts w:hint="eastAsia" w:ascii="楷体" w:hAnsi="楷体" w:eastAsia="楷体" w:cs="楷体"/>
                <w:b w:val="0"/>
                <w:bCs w:val="0"/>
                <w:sz w:val="24"/>
                <w:szCs w:val="24"/>
                <w:lang w:val="en-US" w:eastAsia="zh-Hans"/>
              </w:rPr>
              <w:t>吞吐量：</w:t>
            </w:r>
            <w:r>
              <w:rPr>
                <w:rFonts w:hint="eastAsia" w:ascii="楷体" w:hAnsi="楷体" w:eastAsia="楷体" w:cs="楷体"/>
                <w:b w:val="0"/>
                <w:bCs w:val="0"/>
                <w:sz w:val="24"/>
                <w:szCs w:val="24"/>
                <w:lang w:val="en-US" w:eastAsia="zh-CN"/>
              </w:rPr>
              <w:t>5000Mbps</w:t>
            </w:r>
            <w:r>
              <w:rPr>
                <w:rFonts w:hint="eastAsia" w:ascii="楷体" w:hAnsi="楷体" w:eastAsia="楷体" w:cs="楷体"/>
                <w:b w:val="0"/>
                <w:bCs w:val="0"/>
                <w:sz w:val="24"/>
                <w:szCs w:val="24"/>
                <w:lang w:val="en-US" w:eastAsia="zh-Hans"/>
              </w:rPr>
              <w:t>；</w:t>
            </w:r>
            <w:r>
              <w:rPr>
                <w:rFonts w:hint="eastAsia" w:ascii="楷体" w:hAnsi="楷体" w:eastAsia="楷体" w:cs="楷体"/>
                <w:b w:val="0"/>
                <w:bCs w:val="0"/>
                <w:sz w:val="24"/>
                <w:szCs w:val="24"/>
                <w:lang w:val="en-US" w:eastAsia="zh-CN"/>
              </w:rPr>
              <w:t>SQL事务数/秒</w:t>
            </w:r>
            <w:r>
              <w:rPr>
                <w:rFonts w:hint="eastAsia" w:ascii="楷体" w:hAnsi="楷体" w:eastAsia="楷体" w:cs="楷体"/>
                <w:b w:val="0"/>
                <w:bCs w:val="0"/>
                <w:sz w:val="24"/>
                <w:szCs w:val="24"/>
                <w:lang w:val="en-US" w:eastAsia="zh-Hans"/>
              </w:rPr>
              <w:t>：</w:t>
            </w:r>
            <w:r>
              <w:rPr>
                <w:rFonts w:hint="eastAsia" w:ascii="楷体" w:hAnsi="楷体" w:eastAsia="楷体" w:cs="楷体"/>
                <w:b w:val="0"/>
                <w:bCs w:val="0"/>
                <w:sz w:val="24"/>
                <w:szCs w:val="24"/>
                <w:lang w:val="en-US" w:eastAsia="zh-CN"/>
              </w:rPr>
              <w:t>100,000</w:t>
            </w:r>
            <w:r>
              <w:rPr>
                <w:rFonts w:hint="eastAsia" w:ascii="楷体" w:hAnsi="楷体" w:eastAsia="楷体" w:cs="楷体"/>
                <w:b w:val="0"/>
                <w:bCs w:val="0"/>
                <w:sz w:val="24"/>
                <w:szCs w:val="24"/>
                <w:lang w:val="en-US" w:eastAsia="zh-Hans"/>
              </w:rPr>
              <w:t>；CPU：i5</w:t>
            </w:r>
          </w:p>
          <w:p>
            <w:pPr>
              <w:numPr>
                <w:ilvl w:val="0"/>
                <w:numId w:val="8"/>
              </w:numPr>
              <w:spacing w:line="360" w:lineRule="auto"/>
              <w:ind w:left="425" w:leftChars="0" w:hanging="425" w:firstLineChars="0"/>
              <w:rPr>
                <w:rFonts w:hint="eastAsia" w:ascii="楷体" w:hAnsi="楷体" w:eastAsia="楷体" w:cs="楷体"/>
                <w:sz w:val="24"/>
                <w:szCs w:val="24"/>
                <w:lang w:eastAsia="zh-Hans"/>
              </w:rPr>
            </w:pPr>
            <w:r>
              <w:rPr>
                <w:rFonts w:hint="eastAsia" w:ascii="楷体" w:hAnsi="楷体" w:eastAsia="楷体" w:cs="楷体"/>
                <w:b w:val="0"/>
                <w:bCs w:val="0"/>
                <w:sz w:val="24"/>
                <w:szCs w:val="24"/>
                <w:lang w:val="en-US" w:eastAsia="zh-Hans"/>
              </w:rPr>
              <w:t>内存：16G；硬盘：4T*2。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833"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pacing w:line="360" w:lineRule="auto"/>
              <w:jc w:val="center"/>
              <w:rPr>
                <w:rFonts w:hint="eastAsia" w:ascii="楷体" w:hAnsi="楷体" w:eastAsia="楷体" w:cs="楷体"/>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 w:hAnsi="楷体" w:eastAsia="楷体" w:cs="楷体"/>
                <w:spacing w:val="8"/>
                <w:sz w:val="24"/>
                <w:szCs w:val="24"/>
                <w:shd w:val="clear" w:color="auto" w:fill="FFFFFF"/>
                <w:lang w:val="en-US" w:eastAsia="zh-CN"/>
              </w:rPr>
            </w:pPr>
            <w:r>
              <w:rPr>
                <w:rFonts w:hint="eastAsia" w:ascii="楷体" w:hAnsi="楷体" w:eastAsia="楷体" w:cs="楷体"/>
                <w:spacing w:val="8"/>
                <w:sz w:val="24"/>
                <w:szCs w:val="24"/>
                <w:shd w:val="clear" w:color="auto" w:fill="FFFFFF"/>
              </w:rPr>
              <w:t>医德医风管理</w:t>
            </w:r>
          </w:p>
        </w:tc>
        <w:tc>
          <w:tcPr>
            <w:tcW w:w="6193"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医德档案流程化管理功能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档案类型及类型的附加参数可根据医院需求配置化设置功能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档案申报审批流程可配置化管理功能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医德档案个人、科室、党小组组长等多个管理层面进行档案在线申报登记</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通过在线多人论证进行档案有效性的验证</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档案在线审核确认功能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医院纪委或行风办进行档案登记、查询、汇总统计等管理功能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z w:val="24"/>
                <w:szCs w:val="24"/>
              </w:rPr>
              <w:t>▲</w:t>
            </w: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对拒收红包人次、金额进行汇总统计</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医德医风考评管理功能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考评内容可自行维护和分类别管理</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考评项可选分值配置</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考评任务在线发布推送功能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考评进度在线跟踪功能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z w:val="24"/>
                <w:szCs w:val="24"/>
              </w:rPr>
              <w:t>▲</w:t>
            </w: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各科室考评完成情况跟踪</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考评人员考评科室批量调整功能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rPr>
            </w:pPr>
            <w:r>
              <w:rPr>
                <w:rFonts w:hint="eastAsia" w:ascii="楷体" w:hAnsi="楷体" w:eastAsia="楷体" w:cs="楷体"/>
                <w:sz w:val="24"/>
                <w:szCs w:val="24"/>
              </w:rPr>
              <w:t>▲</w:t>
            </w: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一票否决制；</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考评流程灵活设置功能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考评等级科室人数占比及特殊科室占比设置</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科室历史考评查询及考评修改功能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科室评价批量同意和批量考评等便捷操作</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医院历史评价记录查询及考评修改功能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医院评价批量同意便捷操作</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z w:val="24"/>
                <w:szCs w:val="24"/>
              </w:rPr>
              <w:t>▲</w:t>
            </w: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考评结果审核管理。系统中个人医德档案实际加减分可作为考评结果审核依据</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eastAsia="zh-Hans"/>
              </w:rPr>
            </w:pPr>
            <w:r>
              <w:rPr>
                <w:rFonts w:hint="eastAsia" w:ascii="楷体" w:hAnsi="楷体" w:eastAsia="楷体" w:cs="楷体"/>
                <w:spacing w:val="8"/>
                <w:sz w:val="24"/>
                <w:szCs w:val="24"/>
                <w:shd w:val="clear" w:color="auto" w:fill="FFFFFF"/>
              </w:rPr>
              <w:t>支持考评档案查询、在线打印等功能</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z w:val="24"/>
                <w:szCs w:val="24"/>
                <w:lang w:eastAsia="zh-Hans"/>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和医院现有防统方系统对接，如发现有统方行为，医德医风系统直接判定为“一票否决”</w:t>
            </w:r>
            <w:r>
              <w:rPr>
                <w:rFonts w:hint="eastAsia" w:ascii="楷体" w:hAnsi="楷体" w:eastAsia="楷体" w:cs="楷体"/>
                <w:spacing w:val="8"/>
                <w:sz w:val="24"/>
                <w:szCs w:val="24"/>
                <w:shd w:val="clear" w:color="auto" w:fill="FFFFFF"/>
                <w:lang w:eastAsia="zh-Hans"/>
              </w:rPr>
              <w:t>；</w:t>
            </w:r>
          </w:p>
          <w:p>
            <w:pPr>
              <w:numPr>
                <w:ilvl w:val="0"/>
                <w:numId w:val="9"/>
              </w:numPr>
              <w:spacing w:line="360" w:lineRule="auto"/>
              <w:ind w:left="425" w:leftChars="0" w:hanging="425" w:firstLineChars="0"/>
              <w:rPr>
                <w:rFonts w:hint="eastAsia" w:ascii="楷体" w:hAnsi="楷体" w:eastAsia="楷体" w:cs="楷体"/>
                <w:spacing w:val="8"/>
                <w:sz w:val="24"/>
                <w:szCs w:val="24"/>
                <w:shd w:val="clear" w:color="auto" w:fill="FFFFFF"/>
                <w:lang w:val="en-US" w:eastAsia="zh-CN"/>
              </w:rPr>
            </w:pPr>
            <w:r>
              <w:rPr>
                <w:rFonts w:hint="eastAsia" w:ascii="楷体" w:hAnsi="楷体" w:eastAsia="楷体" w:cs="楷体"/>
                <w:spacing w:val="8"/>
                <w:sz w:val="24"/>
                <w:szCs w:val="24"/>
                <w:shd w:val="clear" w:color="auto" w:fill="FFFFFF"/>
                <w:lang w:val="en-US" w:eastAsia="zh-Hans"/>
              </w:rPr>
              <w:t>具备</w:t>
            </w:r>
            <w:r>
              <w:rPr>
                <w:rFonts w:hint="eastAsia" w:ascii="楷体" w:hAnsi="楷体" w:eastAsia="楷体" w:cs="楷体"/>
                <w:spacing w:val="8"/>
                <w:sz w:val="24"/>
                <w:szCs w:val="24"/>
                <w:shd w:val="clear" w:color="auto" w:fill="FFFFFF"/>
              </w:rPr>
              <w:t>考评结果报告在线生成功能。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3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rPr>
                <w:rFonts w:hint="eastAsia" w:ascii="楷体" w:hAnsi="楷体" w:eastAsia="楷体" w:cs="楷体"/>
                <w:spacing w:val="8"/>
                <w:sz w:val="24"/>
                <w:szCs w:val="24"/>
                <w:shd w:val="clear" w:color="auto" w:fill="FFFFFF"/>
                <w:lang w:val="en-US" w:eastAsia="zh-Hans"/>
              </w:rPr>
            </w:pPr>
          </w:p>
        </w:tc>
        <w:tc>
          <w:tcPr>
            <w:tcW w:w="1270"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系统管理</w:t>
            </w:r>
          </w:p>
        </w:tc>
        <w:tc>
          <w:tcPr>
            <w:tcW w:w="6193"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具备科室机构多层级目录化管理；</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具备科室机构负责人灵活配置化管理；</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具备系统用户线上维护及移动端账号维护管理；</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具备科室机构数据批量导入功能；</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具备系统用户数据批量导入功能；</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具备科室机构数据与医院现有业务系统数据实现数据集成；</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具备系统用户数据与医院现有业务系统数据实现数据集成；</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具备用户密码批量重置功能，可灵活设定重置后的密码；</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具备用户权限可配置化管理；</w:t>
            </w:r>
          </w:p>
          <w:p>
            <w:pPr>
              <w:numPr>
                <w:ilvl w:val="0"/>
                <w:numId w:val="10"/>
              </w:numPr>
              <w:spacing w:line="360" w:lineRule="auto"/>
              <w:ind w:left="425" w:leftChars="0" w:hanging="425" w:firstLineChars="0"/>
              <w:rPr>
                <w:rFonts w:hint="eastAsia" w:ascii="楷体" w:hAnsi="楷体" w:eastAsia="楷体" w:cs="楷体"/>
                <w:spacing w:val="8"/>
                <w:sz w:val="24"/>
                <w:szCs w:val="24"/>
                <w:shd w:val="clear" w:color="auto" w:fill="FFFFFF"/>
                <w:lang w:val="en-US" w:eastAsia="zh-Hans"/>
              </w:rPr>
            </w:pPr>
            <w:r>
              <w:rPr>
                <w:rFonts w:hint="eastAsia" w:ascii="楷体" w:hAnsi="楷体" w:eastAsia="楷体" w:cs="楷体"/>
                <w:spacing w:val="8"/>
                <w:sz w:val="24"/>
                <w:szCs w:val="24"/>
                <w:shd w:val="clear" w:color="auto" w:fill="FFFFFF"/>
                <w:lang w:val="en-US" w:eastAsia="zh-Hans"/>
              </w:rPr>
              <w:t>具备系统访问日志追索查询功能。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33" w:type="dxa"/>
            <w:tcBorders>
              <w:top w:val="single" w:color="auto" w:sz="4" w:space="0"/>
              <w:left w:val="single" w:color="auto" w:sz="4" w:space="0"/>
              <w:bottom w:val="single" w:color="auto" w:sz="4" w:space="0"/>
              <w:right w:val="single" w:color="auto" w:sz="4" w:space="0"/>
            </w:tcBorders>
            <w:vAlign w:val="center"/>
          </w:tcPr>
          <w:p>
            <w:pPr>
              <w:pageBreakBefore w:val="0"/>
              <w:shd w:val="clear" w:color="auto" w:fill="FFFFFF"/>
              <w:kinsoku/>
              <w:wordWrap/>
              <w:overflowPunct/>
              <w:topLinePunct w:val="0"/>
              <w:bidi w:val="0"/>
              <w:snapToGrid w:val="0"/>
              <w:spacing w:line="560" w:lineRule="exact"/>
              <w:ind w:firstLine="480" w:firstLineChars="200"/>
              <w:rPr>
                <w:rFonts w:hint="default"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6</w:t>
            </w:r>
          </w:p>
        </w:tc>
        <w:tc>
          <w:tcPr>
            <w:tcW w:w="1270" w:type="dxa"/>
            <w:tcBorders>
              <w:top w:val="single" w:color="auto" w:sz="4" w:space="0"/>
              <w:left w:val="single" w:color="auto" w:sz="4" w:space="0"/>
              <w:bottom w:val="single" w:color="auto" w:sz="4" w:space="0"/>
              <w:right w:val="single" w:color="auto" w:sz="4" w:space="0"/>
            </w:tcBorders>
            <w:shd w:val="clear" w:color="auto" w:fill="FFFF00"/>
            <w:vAlign w:val="center"/>
          </w:tcPr>
          <w:p>
            <w:pPr>
              <w:pageBreakBefore w:val="0"/>
              <w:shd w:val="clear" w:color="auto" w:fill="FFFFFF"/>
              <w:kinsoku/>
              <w:wordWrap/>
              <w:overflowPunct/>
              <w:topLinePunct w:val="0"/>
              <w:bidi w:val="0"/>
              <w:snapToGrid w:val="0"/>
              <w:spacing w:line="560" w:lineRule="exact"/>
              <w:rPr>
                <w:rFonts w:hint="eastAsia" w:ascii="楷体" w:hAnsi="楷体" w:eastAsia="楷体" w:cs="楷体"/>
                <w:color w:val="auto"/>
                <w:sz w:val="24"/>
                <w:highlight w:val="none"/>
                <w:lang w:val="en-US" w:eastAsia="zh-Hans"/>
              </w:rPr>
            </w:pPr>
            <w:r>
              <w:rPr>
                <w:rFonts w:hint="eastAsia" w:ascii="楷体" w:hAnsi="楷体" w:eastAsia="楷体" w:cs="楷体"/>
                <w:color w:val="auto"/>
                <w:sz w:val="24"/>
                <w:highlight w:val="none"/>
                <w:lang w:val="en-US" w:eastAsia="zh-Hans"/>
              </w:rPr>
              <w:t>硬件参数</w:t>
            </w:r>
          </w:p>
        </w:tc>
        <w:tc>
          <w:tcPr>
            <w:tcW w:w="6193" w:type="dxa"/>
            <w:tcBorders>
              <w:top w:val="single" w:color="auto" w:sz="4" w:space="0"/>
              <w:left w:val="single" w:color="auto" w:sz="4" w:space="0"/>
              <w:bottom w:val="single" w:color="auto" w:sz="4" w:space="0"/>
              <w:right w:val="single" w:color="auto" w:sz="4" w:space="0"/>
            </w:tcBorders>
            <w:shd w:val="clear" w:color="auto" w:fill="FFFF00"/>
            <w:vAlign w:val="center"/>
          </w:tcPr>
          <w:tbl>
            <w:tblPr>
              <w:tblStyle w:val="31"/>
              <w:tblW w:w="6262"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62" w:type="dxa"/>
                  <w:tcBorders>
                    <w:top w:val="single" w:color="auto" w:sz="4" w:space="0"/>
                    <w:left w:val="single" w:color="auto" w:sz="4" w:space="0"/>
                    <w:bottom w:val="single" w:color="auto" w:sz="4" w:space="0"/>
                    <w:right w:val="single" w:color="auto" w:sz="4" w:space="0"/>
                  </w:tcBorders>
                  <w:shd w:val="clear" w:color="auto" w:fill="FFFF00"/>
                  <w:vAlign w:val="center"/>
                </w:tcPr>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网络：10/100/1000M 自适应电口≥4</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存储:≥3*2T SAS企业级</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CPU: 不低于2*银牌4210R 20核40线程</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内存：不低于16G</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Hans"/>
                    </w:rPr>
                  </w:pPr>
                  <w:r>
                    <w:rPr>
                      <w:rFonts w:hint="eastAsia" w:ascii="楷体" w:hAnsi="楷体" w:eastAsia="楷体" w:cs="楷体"/>
                      <w:color w:val="auto"/>
                      <w:sz w:val="24"/>
                      <w:highlight w:val="none"/>
                      <w:lang w:val="en-US" w:eastAsia="zh-CN"/>
                    </w:rPr>
                    <w:t>电源：交流电源</w:t>
                  </w:r>
                </w:p>
              </w:tc>
            </w:tr>
          </w:tbl>
          <w:p>
            <w:pPr>
              <w:pageBreakBefore w:val="0"/>
              <w:shd w:val="clear" w:color="auto" w:fill="FFFFFF"/>
              <w:kinsoku/>
              <w:wordWrap/>
              <w:overflowPunct/>
              <w:topLinePunct w:val="0"/>
              <w:bidi w:val="0"/>
              <w:snapToGrid w:val="0"/>
              <w:spacing w:line="560" w:lineRule="exact"/>
              <w:rPr>
                <w:rFonts w:hint="eastAsia" w:ascii="楷体" w:hAnsi="楷体" w:eastAsia="楷体" w:cs="楷体"/>
                <w:color w:val="auto"/>
                <w:sz w:val="24"/>
                <w:highlight w:val="none"/>
                <w:lang w:val="en-US" w:eastAsia="zh-Hans"/>
              </w:rPr>
            </w:pPr>
          </w:p>
        </w:tc>
      </w:tr>
    </w:tbl>
    <w:p>
      <w:pPr>
        <w:pageBreakBefore w:val="0"/>
        <w:shd w:val="clear" w:color="auto" w:fill="FFFFFF"/>
        <w:kinsoku/>
        <w:wordWrap/>
        <w:overflowPunct/>
        <w:topLinePunct w:val="0"/>
        <w:bidi w:val="0"/>
        <w:snapToGrid w:val="0"/>
        <w:spacing w:line="560" w:lineRule="exact"/>
        <w:ind w:firstLine="562" w:firstLineChars="200"/>
        <w:rPr>
          <w:rFonts w:hint="eastAsia" w:ascii="楷体" w:hAnsi="楷体" w:eastAsia="楷体" w:cs="楷体"/>
          <w:b/>
          <w:bCs w:val="0"/>
          <w:kern w:val="2"/>
          <w:sz w:val="28"/>
          <w:szCs w:val="28"/>
          <w:highlight w:val="none"/>
          <w:lang w:val="en-US" w:eastAsia="zh-CN" w:bidi="ar-SA"/>
        </w:rPr>
      </w:pPr>
      <w:r>
        <w:rPr>
          <w:rFonts w:hint="eastAsia" w:ascii="楷体" w:hAnsi="楷体" w:eastAsia="楷体" w:cs="楷体"/>
          <w:b/>
          <w:bCs w:val="0"/>
          <w:kern w:val="2"/>
          <w:sz w:val="28"/>
          <w:szCs w:val="28"/>
          <w:highlight w:val="none"/>
          <w:lang w:val="en-US" w:eastAsia="zh-CN" w:bidi="ar-SA"/>
        </w:rPr>
        <w:t>三、质量要求</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rPr>
        <w:t>符合中华人民共和国现行规定合格标准，并达到采购人实施要求</w:t>
      </w:r>
      <w:r>
        <w:rPr>
          <w:rFonts w:hint="eastAsia" w:ascii="楷体" w:hAnsi="楷体" w:eastAsia="楷体" w:cs="楷体"/>
          <w:color w:val="auto"/>
          <w:sz w:val="24"/>
          <w:highlight w:val="none"/>
          <w:lang w:val="en-US" w:eastAsia="zh-CN"/>
        </w:rPr>
        <w:t>。</w:t>
      </w:r>
    </w:p>
    <w:p>
      <w:pPr>
        <w:pageBreakBefore w:val="0"/>
        <w:shd w:val="clear" w:color="auto" w:fill="FFFFFF"/>
        <w:kinsoku/>
        <w:wordWrap/>
        <w:overflowPunct/>
        <w:topLinePunct w:val="0"/>
        <w:bidi w:val="0"/>
        <w:snapToGrid w:val="0"/>
        <w:spacing w:line="560" w:lineRule="exact"/>
        <w:ind w:firstLine="562" w:firstLineChars="200"/>
        <w:rPr>
          <w:rFonts w:hint="eastAsia" w:ascii="楷体" w:hAnsi="楷体" w:eastAsia="楷体" w:cs="楷体"/>
          <w:b/>
          <w:bCs w:val="0"/>
          <w:kern w:val="2"/>
          <w:sz w:val="28"/>
          <w:szCs w:val="28"/>
          <w:highlight w:val="none"/>
          <w:lang w:val="en-US" w:eastAsia="zh-CN" w:bidi="ar-SA"/>
        </w:rPr>
      </w:pPr>
      <w:r>
        <w:rPr>
          <w:rFonts w:hint="eastAsia" w:ascii="楷体" w:hAnsi="楷体" w:eastAsia="楷体" w:cs="楷体"/>
          <w:b/>
          <w:bCs w:val="0"/>
          <w:kern w:val="2"/>
          <w:sz w:val="28"/>
          <w:szCs w:val="28"/>
          <w:highlight w:val="none"/>
          <w:lang w:val="en-US" w:eastAsia="zh-CN" w:bidi="ar-SA"/>
        </w:rPr>
        <w:t>四、产品交付与验收</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highlight w:val="none"/>
          <w:lang w:val="en-US" w:eastAsia="zh-CN"/>
        </w:rPr>
        <w:t>供应商应设项目经理，负责从供货、安装、调试、试运行、直至项目验收合格期间的协调管理工作。在项目实施期间，供应商未经采购人同意不得更换项目经理。项目经理未能与采购人建立良好沟通或拒不执行采购人要求时，采购人有权要求供应商更换项目经理且供应商须予配合。更换后的项目经理各项能力均不得低于被更换的项目经理。</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2、完成时限：合同签订后</w:t>
      </w:r>
      <w:r>
        <w:rPr>
          <w:rFonts w:hint="eastAsia" w:ascii="楷体" w:hAnsi="楷体" w:eastAsia="楷体" w:cs="楷体"/>
          <w:color w:val="auto"/>
          <w:sz w:val="24"/>
          <w:highlight w:val="none"/>
          <w:lang w:eastAsia="zh-CN"/>
        </w:rPr>
        <w:t>6</w:t>
      </w:r>
      <w:r>
        <w:rPr>
          <w:rFonts w:hint="eastAsia" w:ascii="楷体" w:hAnsi="楷体" w:eastAsia="楷体" w:cs="楷体"/>
          <w:color w:val="auto"/>
          <w:sz w:val="24"/>
          <w:highlight w:val="none"/>
          <w:lang w:val="en-US" w:eastAsia="zh-CN"/>
        </w:rPr>
        <w:t>0 个日历日内完成本项目全部建设工作。</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3、供应商须无条件配合招标人作相应等保安全等级的测评、整改工作，且该部分工作视为本项目实施的一部分，其费用包含在报价中。</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Hans"/>
        </w:rPr>
      </w:pPr>
      <w:r>
        <w:rPr>
          <w:rFonts w:hint="eastAsia" w:ascii="楷体" w:hAnsi="楷体" w:eastAsia="楷体" w:cs="楷体"/>
          <w:color w:val="auto"/>
          <w:sz w:val="24"/>
          <w:highlight w:val="none"/>
          <w:lang w:val="en-US" w:eastAsia="zh-CN"/>
        </w:rPr>
        <w:t>4、接口要求：</w:t>
      </w:r>
      <w:r>
        <w:rPr>
          <w:rFonts w:hint="eastAsia" w:ascii="楷体" w:hAnsi="楷体" w:eastAsia="楷体" w:cs="楷体"/>
          <w:color w:val="auto"/>
          <w:sz w:val="24"/>
          <w:highlight w:val="none"/>
          <w:lang w:val="en-US" w:eastAsia="zh-Hans"/>
        </w:rPr>
        <w:t>供应商报价应包含对接第三方接口所需费用。</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5、本项目试运行期限不低于30日历日，供应商对试运行中产生的问题及时进行修改、调整，需确保试运行结束后，能够一次性通过验收。</w:t>
      </w:r>
    </w:p>
    <w:p>
      <w:pPr>
        <w:pageBreakBefore w:val="0"/>
        <w:shd w:val="clear" w:color="auto" w:fill="FFFFFF"/>
        <w:kinsoku/>
        <w:wordWrap/>
        <w:overflowPunct/>
        <w:topLinePunct w:val="0"/>
        <w:bidi w:val="0"/>
        <w:snapToGrid w:val="0"/>
        <w:spacing w:line="560" w:lineRule="exact"/>
        <w:ind w:firstLine="562" w:firstLineChars="200"/>
        <w:rPr>
          <w:rFonts w:hint="eastAsia" w:ascii="楷体" w:hAnsi="楷体" w:eastAsia="楷体" w:cs="楷体"/>
          <w:b/>
          <w:bCs w:val="0"/>
          <w:kern w:val="2"/>
          <w:sz w:val="28"/>
          <w:szCs w:val="28"/>
          <w:highlight w:val="none"/>
          <w:lang w:val="en-US" w:eastAsia="zh-CN" w:bidi="ar-SA"/>
        </w:rPr>
      </w:pPr>
      <w:r>
        <w:rPr>
          <w:rFonts w:hint="eastAsia" w:ascii="楷体" w:hAnsi="楷体" w:eastAsia="楷体" w:cs="楷体"/>
          <w:b/>
          <w:bCs w:val="0"/>
          <w:kern w:val="2"/>
          <w:sz w:val="28"/>
          <w:szCs w:val="28"/>
          <w:highlight w:val="none"/>
          <w:lang w:val="en-US" w:eastAsia="zh-CN" w:bidi="ar-SA"/>
        </w:rPr>
        <w:t>五、售后服务要求</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1、质保期不低于</w:t>
      </w:r>
      <w:r>
        <w:rPr>
          <w:rFonts w:hint="eastAsia" w:ascii="楷体" w:hAnsi="楷体" w:eastAsia="楷体" w:cs="楷体"/>
          <w:color w:val="auto"/>
          <w:sz w:val="24"/>
          <w:highlight w:val="none"/>
          <w:lang w:val="en-US" w:eastAsia="zh-Hans"/>
        </w:rPr>
        <w:t>叁</w:t>
      </w:r>
      <w:r>
        <w:rPr>
          <w:rFonts w:hint="eastAsia" w:ascii="楷体" w:hAnsi="楷体" w:eastAsia="楷体" w:cs="楷体"/>
          <w:color w:val="auto"/>
          <w:sz w:val="24"/>
          <w:highlight w:val="none"/>
          <w:lang w:val="en-US" w:eastAsia="zh-CN"/>
        </w:rPr>
        <w:t>年，质保期从系统整体验收通过之日起计算；质保期内供应商为所提供系统进行免费升级与维护，不得收取上门费、维修费和系统升级费等。</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2、质保期内，供应商需保证7*24小时的服务响应，提供7*24小时电话、现场的维护、软件升级服务；每季度至少提供一次巡检及协助报告分析服务。响应时间不得低于如下标准：接到采购方的通知后2小时内必须做出明确的响应和安排；若2小时内电话无法解决，24小时内到达现场进行维护，48小时内解决完毕。</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3、质保期满后，供应商需对所投产品进行终身维护、维修，并按采购人要求提供</w:t>
      </w:r>
      <w:r>
        <w:rPr>
          <w:rFonts w:hint="eastAsia" w:ascii="楷体" w:hAnsi="楷体" w:eastAsia="楷体" w:cs="楷体"/>
          <w:color w:val="auto"/>
          <w:sz w:val="24"/>
          <w:highlight w:val="none"/>
          <w:lang w:val="en-US" w:eastAsia="zh-Hans"/>
        </w:rPr>
        <w:t>维保服务</w:t>
      </w:r>
      <w:r>
        <w:rPr>
          <w:rFonts w:hint="eastAsia" w:ascii="楷体" w:hAnsi="楷体" w:eastAsia="楷体" w:cs="楷体"/>
          <w:color w:val="auto"/>
          <w:sz w:val="24"/>
          <w:highlight w:val="none"/>
          <w:lang w:val="en-US" w:eastAsia="zh-CN"/>
        </w:rPr>
        <w:t>。</w:t>
      </w:r>
    </w:p>
    <w:p>
      <w:pPr>
        <w:pageBreakBefore w:val="0"/>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4、供应商质保期外提供的维护、维修、升级等服务，所收取得费用不得高于市场价格。</w:t>
      </w:r>
    </w:p>
    <w:p>
      <w:pPr>
        <w:pageBreakBefore w:val="0"/>
        <w:shd w:val="clear" w:color="auto" w:fill="FFFFFF"/>
        <w:kinsoku/>
        <w:wordWrap/>
        <w:overflowPunct/>
        <w:topLinePunct w:val="0"/>
        <w:bidi w:val="0"/>
        <w:snapToGrid w:val="0"/>
        <w:spacing w:line="560" w:lineRule="exact"/>
        <w:ind w:firstLine="562" w:firstLineChars="200"/>
        <w:rPr>
          <w:rFonts w:hint="eastAsia" w:ascii="楷体" w:hAnsi="楷体" w:eastAsia="楷体" w:cs="楷体"/>
          <w:b/>
          <w:bCs w:val="0"/>
          <w:kern w:val="2"/>
          <w:sz w:val="28"/>
          <w:szCs w:val="28"/>
          <w:highlight w:val="none"/>
          <w:lang w:val="en-US" w:eastAsia="zh-CN" w:bidi="ar-SA"/>
        </w:rPr>
      </w:pPr>
      <w:r>
        <w:rPr>
          <w:rFonts w:hint="eastAsia" w:ascii="楷体" w:hAnsi="楷体" w:eastAsia="楷体" w:cs="楷体"/>
          <w:b/>
          <w:bCs w:val="0"/>
          <w:kern w:val="2"/>
          <w:sz w:val="28"/>
          <w:szCs w:val="28"/>
          <w:highlight w:val="none"/>
          <w:lang w:val="en-US" w:eastAsia="zh-CN" w:bidi="ar-SA"/>
        </w:rPr>
        <w:t>六、培训</w:t>
      </w:r>
    </w:p>
    <w:p>
      <w:pPr>
        <w:pageBreakBefore w:val="0"/>
        <w:numPr>
          <w:ilvl w:val="0"/>
          <w:numId w:val="0"/>
        </w:numPr>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1、在项目运行之前，成交供应商需制定详细的项目培训计划，并提供相关培训文档，对操作人员和管理人员分别进行培训，确保操作人员能顺利掌握系统操作。</w:t>
      </w:r>
    </w:p>
    <w:p>
      <w:pPr>
        <w:pageBreakBefore w:val="0"/>
        <w:numPr>
          <w:ilvl w:val="0"/>
          <w:numId w:val="11"/>
        </w:numPr>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培训方式需以集中培训为主，现场培训为辅，集中培训次数为应满足所有受训人员接受不低于2次（每次2小时）培训，直至使用科室熟练操作。</w:t>
      </w:r>
    </w:p>
    <w:p>
      <w:pPr>
        <w:pageBreakBefore w:val="0"/>
        <w:shd w:val="clear" w:color="auto" w:fill="FFFFFF"/>
        <w:kinsoku/>
        <w:wordWrap/>
        <w:overflowPunct/>
        <w:topLinePunct w:val="0"/>
        <w:bidi w:val="0"/>
        <w:snapToGrid w:val="0"/>
        <w:spacing w:line="560" w:lineRule="exact"/>
        <w:ind w:firstLine="562" w:firstLineChars="200"/>
        <w:rPr>
          <w:rFonts w:hint="eastAsia" w:ascii="楷体" w:hAnsi="楷体" w:eastAsia="楷体" w:cs="楷体"/>
          <w:b/>
          <w:bCs w:val="0"/>
          <w:kern w:val="2"/>
          <w:sz w:val="28"/>
          <w:szCs w:val="28"/>
          <w:highlight w:val="none"/>
          <w:lang w:val="en-US" w:eastAsia="zh-CN" w:bidi="ar-SA"/>
        </w:rPr>
      </w:pPr>
      <w:r>
        <w:rPr>
          <w:rFonts w:hint="eastAsia" w:ascii="楷体" w:hAnsi="楷体" w:eastAsia="楷体" w:cs="楷体"/>
          <w:b/>
          <w:bCs w:val="0"/>
          <w:kern w:val="2"/>
          <w:sz w:val="28"/>
          <w:szCs w:val="28"/>
          <w:highlight w:val="none"/>
          <w:lang w:val="en-US" w:eastAsia="zh-CN" w:bidi="ar-SA"/>
        </w:rPr>
        <w:t>七、知识产权</w:t>
      </w:r>
    </w:p>
    <w:p>
      <w:pPr>
        <w:pageBreakBefore w:val="0"/>
        <w:numPr>
          <w:ilvl w:val="0"/>
          <w:numId w:val="0"/>
        </w:numPr>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成交供应商保证基于本次所投的商品或者服务，采购人使用、制造、销售、出口等经营活动不会侵犯任何第三方的知识产权；若发生上述情况，成交供应商保证承担由此产生的法律责任；同时由于成交供应商所投产品发生知识产权争议或纠纷对采购人造成经济损失的，采购人有权随时向成交供应商提出赔偿要求。</w:t>
      </w:r>
    </w:p>
    <w:p>
      <w:pPr>
        <w:pageBreakBefore w:val="0"/>
        <w:numPr>
          <w:ilvl w:val="0"/>
          <w:numId w:val="12"/>
        </w:numPr>
        <w:shd w:val="clear" w:color="auto" w:fill="FFFFFF"/>
        <w:kinsoku/>
        <w:wordWrap/>
        <w:overflowPunct/>
        <w:topLinePunct w:val="0"/>
        <w:bidi w:val="0"/>
        <w:snapToGrid w:val="0"/>
        <w:spacing w:line="560" w:lineRule="exact"/>
        <w:ind w:firstLine="562" w:firstLineChars="200"/>
        <w:rPr>
          <w:rFonts w:hint="eastAsia" w:ascii="楷体" w:hAnsi="楷体" w:eastAsia="楷体" w:cs="楷体"/>
          <w:b/>
          <w:bCs/>
          <w:i w:val="0"/>
          <w:color w:val="auto"/>
          <w:spacing w:val="0"/>
          <w:kern w:val="2"/>
          <w:sz w:val="28"/>
          <w:szCs w:val="28"/>
          <w:highlight w:val="none"/>
          <w:lang w:val="en-US" w:eastAsia="zh-Hans" w:bidi="ar-SA"/>
        </w:rPr>
      </w:pPr>
      <w:r>
        <w:rPr>
          <w:rFonts w:hint="eastAsia" w:ascii="楷体" w:hAnsi="楷体" w:eastAsia="楷体" w:cs="楷体"/>
          <w:b/>
          <w:bCs/>
          <w:i w:val="0"/>
          <w:color w:val="auto"/>
          <w:spacing w:val="0"/>
          <w:kern w:val="2"/>
          <w:sz w:val="28"/>
          <w:szCs w:val="28"/>
          <w:highlight w:val="none"/>
          <w:lang w:val="en-US" w:eastAsia="zh-Hans" w:bidi="ar-SA"/>
        </w:rPr>
        <w:t>付款方式</w:t>
      </w:r>
    </w:p>
    <w:p>
      <w:pPr>
        <w:pageBreakBefore w:val="0"/>
        <w:numPr>
          <w:ilvl w:val="0"/>
          <w:numId w:val="0"/>
        </w:numPr>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Hans"/>
        </w:rPr>
      </w:pPr>
      <w:bookmarkStart w:id="200" w:name="_GoBack"/>
      <w:bookmarkEnd w:id="200"/>
      <w:r>
        <w:rPr>
          <w:rFonts w:hint="eastAsia" w:ascii="楷体" w:hAnsi="楷体" w:eastAsia="楷体" w:cs="楷体"/>
          <w:color w:val="auto"/>
          <w:sz w:val="24"/>
          <w:highlight w:val="none"/>
          <w:lang w:val="en-US" w:eastAsia="zh-Hans"/>
        </w:rPr>
        <w:t>本项目系统上线、试运行正常30个日历日内支付合同总金额的50%，验收合格并提供生产厂商维保期内售后服务承诺函后30个日历日内支付合同总金额的45%，自验收合格之日起质保期满后30个日历日内支付合同金额的5%。</w:t>
      </w:r>
    </w:p>
    <w:p>
      <w:pPr>
        <w:rPr>
          <w:rFonts w:hint="eastAsia"/>
          <w:lang w:val="en-US" w:eastAsia="zh-Hans"/>
        </w:rPr>
      </w:pPr>
    </w:p>
    <w:p>
      <w:pPr>
        <w:pageBreakBefore w:val="0"/>
        <w:numPr>
          <w:ilvl w:val="0"/>
          <w:numId w:val="12"/>
        </w:numPr>
        <w:shd w:val="clear" w:color="auto" w:fill="FFFFFF"/>
        <w:kinsoku/>
        <w:wordWrap/>
        <w:overflowPunct/>
        <w:topLinePunct w:val="0"/>
        <w:bidi w:val="0"/>
        <w:snapToGrid w:val="0"/>
        <w:spacing w:line="560" w:lineRule="exact"/>
        <w:ind w:firstLine="562" w:firstLineChars="200"/>
        <w:rPr>
          <w:rFonts w:hint="eastAsia" w:ascii="楷体" w:hAnsi="楷体" w:eastAsia="楷体" w:cs="楷体"/>
          <w:b/>
          <w:bCs/>
          <w:i w:val="0"/>
          <w:color w:val="auto"/>
          <w:spacing w:val="0"/>
          <w:kern w:val="2"/>
          <w:sz w:val="28"/>
          <w:szCs w:val="28"/>
          <w:highlight w:val="none"/>
          <w:lang w:val="en-US" w:eastAsia="zh-CN" w:bidi="ar-SA"/>
        </w:rPr>
      </w:pPr>
      <w:r>
        <w:rPr>
          <w:rFonts w:hint="eastAsia" w:ascii="楷体" w:hAnsi="楷体" w:eastAsia="楷体" w:cs="楷体"/>
          <w:b/>
          <w:bCs/>
          <w:i w:val="0"/>
          <w:color w:val="auto"/>
          <w:spacing w:val="0"/>
          <w:kern w:val="2"/>
          <w:sz w:val="28"/>
          <w:szCs w:val="28"/>
          <w:highlight w:val="none"/>
          <w:lang w:val="en-US" w:eastAsia="zh-CN" w:bidi="ar-SA"/>
        </w:rPr>
        <w:t>其他要求</w:t>
      </w:r>
    </w:p>
    <w:p>
      <w:pPr>
        <w:pageBreakBefore w:val="0"/>
        <w:numPr>
          <w:ilvl w:val="0"/>
          <w:numId w:val="0"/>
        </w:numPr>
        <w:shd w:val="clear" w:color="auto" w:fill="FFFFFF"/>
        <w:kinsoku/>
        <w:wordWrap/>
        <w:overflowPunct/>
        <w:topLinePunct w:val="0"/>
        <w:bidi w:val="0"/>
        <w:snapToGrid w:val="0"/>
        <w:spacing w:line="560" w:lineRule="exact"/>
        <w:ind w:firstLine="480" w:firstLineChars="200"/>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供应商不得泄露在本项目实施过程或其他情况下获取的有关采购人及其相关信息。</w:t>
      </w:r>
    </w:p>
    <w:p>
      <w:pPr>
        <w:pStyle w:val="2"/>
        <w:rPr>
          <w:rFonts w:hint="eastAsia" w:ascii="楷体" w:hAnsi="楷体" w:eastAsia="楷体" w:cs="楷体"/>
          <w:lang w:val="en-US" w:eastAsia="zh-CN"/>
        </w:rPr>
      </w:pPr>
    </w:p>
    <w:p>
      <w:pPr>
        <w:pageBreakBefore w:val="0"/>
        <w:numPr>
          <w:ilvl w:val="0"/>
          <w:numId w:val="0"/>
        </w:numPr>
        <w:shd w:val="clear" w:color="auto" w:fill="FFFFFF"/>
        <w:kinsoku/>
        <w:wordWrap/>
        <w:overflowPunct/>
        <w:topLinePunct w:val="0"/>
        <w:bidi w:val="0"/>
        <w:snapToGrid w:val="0"/>
        <w:spacing w:line="560" w:lineRule="exact"/>
        <w:rPr>
          <w:rFonts w:hint="eastAsia" w:ascii="楷体" w:hAnsi="楷体" w:eastAsia="楷体" w:cs="楷体"/>
          <w:color w:val="auto"/>
          <w:highlight w:val="none"/>
          <w:lang w:val="en-US" w:eastAsia="zh-CN"/>
        </w:rPr>
      </w:pPr>
    </w:p>
    <w:p>
      <w:pPr>
        <w:pageBreakBefore w:val="0"/>
        <w:kinsoku/>
        <w:wordWrap/>
        <w:overflowPunct/>
        <w:topLinePunct w:val="0"/>
        <w:bidi w:val="0"/>
        <w:snapToGrid w:val="0"/>
        <w:spacing w:line="560" w:lineRule="exact"/>
        <w:rPr>
          <w:rFonts w:hint="eastAsia" w:ascii="楷体" w:hAnsi="楷体" w:eastAsia="楷体" w:cs="楷体"/>
          <w:color w:val="auto"/>
          <w:highlight w:val="none"/>
        </w:rPr>
      </w:pPr>
      <w:bookmarkStart w:id="138" w:name="_Toc53945731"/>
      <w:r>
        <w:rPr>
          <w:rFonts w:hint="eastAsia" w:ascii="楷体" w:hAnsi="楷体" w:eastAsia="楷体" w:cs="楷体"/>
          <w:color w:val="auto"/>
          <w:highlight w:val="none"/>
        </w:rPr>
        <w:br w:type="page"/>
      </w:r>
    </w:p>
    <w:p>
      <w:pPr>
        <w:pStyle w:val="3"/>
        <w:pageBreakBefore w:val="0"/>
        <w:numPr>
          <w:ilvl w:val="0"/>
          <w:numId w:val="0"/>
        </w:numPr>
        <w:kinsoku/>
        <w:wordWrap/>
        <w:overflowPunct/>
        <w:topLinePunct w:val="0"/>
        <w:bidi w:val="0"/>
        <w:snapToGrid w:val="0"/>
        <w:spacing w:before="312" w:after="312" w:line="560" w:lineRule="exact"/>
        <w:ind w:left="2940" w:leftChars="0"/>
        <w:jc w:val="both"/>
        <w:rPr>
          <w:rFonts w:hint="eastAsia" w:ascii="楷体" w:hAnsi="楷体" w:eastAsia="楷体" w:cs="楷体"/>
          <w:color w:val="auto"/>
          <w:highlight w:val="none"/>
        </w:rPr>
      </w:pPr>
      <w:bookmarkStart w:id="139" w:name="_Toc27867"/>
      <w:bookmarkStart w:id="140" w:name="_Toc25418"/>
      <w:r>
        <w:rPr>
          <w:rFonts w:hint="eastAsia" w:ascii="楷体" w:hAnsi="楷体" w:eastAsia="楷体" w:cs="楷体"/>
          <w:color w:val="auto"/>
          <w:highlight w:val="none"/>
          <w:lang w:eastAsia="zh-CN"/>
        </w:rPr>
        <w:t>第五章</w:t>
      </w:r>
      <w:r>
        <w:rPr>
          <w:rFonts w:hint="eastAsia" w:ascii="楷体" w:hAnsi="楷体" w:eastAsia="楷体" w:cs="楷体"/>
          <w:color w:val="auto"/>
          <w:highlight w:val="none"/>
          <w:lang w:val="en-US" w:eastAsia="zh-CN"/>
        </w:rPr>
        <w:t xml:space="preserve">  </w:t>
      </w:r>
      <w:r>
        <w:rPr>
          <w:rFonts w:hint="eastAsia" w:ascii="楷体" w:hAnsi="楷体" w:eastAsia="楷体" w:cs="楷体"/>
          <w:color w:val="auto"/>
          <w:highlight w:val="none"/>
        </w:rPr>
        <w:t>响应文件格式</w:t>
      </w:r>
      <w:bookmarkEnd w:id="138"/>
      <w:bookmarkEnd w:id="139"/>
      <w:bookmarkEnd w:id="140"/>
    </w:p>
    <w:p>
      <w:pPr>
        <w:pStyle w:val="38"/>
        <w:pageBreakBefore w:val="0"/>
        <w:shd w:val="clear" w:fill="FFFF00"/>
        <w:kinsoku/>
        <w:wordWrap/>
        <w:overflowPunct/>
        <w:topLinePunct w:val="0"/>
        <w:bidi w:val="0"/>
        <w:snapToGrid w:val="0"/>
        <w:spacing w:line="560" w:lineRule="exact"/>
        <w:ind w:left="0" w:leftChars="0" w:firstLine="0" w:firstLineChars="0"/>
        <w:jc w:val="both"/>
        <w:rPr>
          <w:rFonts w:hint="eastAsia" w:ascii="楷体" w:hAnsi="楷体" w:eastAsia="楷体" w:cs="楷体"/>
          <w:color w:val="FF0000"/>
          <w:sz w:val="32"/>
          <w:szCs w:val="28"/>
          <w:highlight w:val="none"/>
          <w:lang w:eastAsia="zh-CN"/>
        </w:rPr>
      </w:pPr>
      <w:r>
        <w:rPr>
          <w:rFonts w:hint="eastAsia" w:ascii="楷体" w:hAnsi="楷体" w:eastAsia="楷体" w:cs="楷体"/>
          <w:color w:val="FF0000"/>
          <w:sz w:val="32"/>
          <w:szCs w:val="28"/>
          <w:highlight w:val="none"/>
          <w:lang w:eastAsia="zh-CN"/>
        </w:rPr>
        <w:t>项目编号：</w:t>
      </w:r>
    </w:p>
    <w:p>
      <w:pPr>
        <w:pStyle w:val="38"/>
        <w:pageBreakBefore w:val="0"/>
        <w:kinsoku/>
        <w:wordWrap/>
        <w:overflowPunct/>
        <w:topLinePunct w:val="0"/>
        <w:bidi w:val="0"/>
        <w:snapToGrid w:val="0"/>
        <w:spacing w:line="560" w:lineRule="exact"/>
        <w:jc w:val="right"/>
        <w:rPr>
          <w:rFonts w:hint="eastAsia" w:ascii="楷体" w:hAnsi="楷体" w:eastAsia="楷体" w:cs="楷体"/>
          <w:color w:val="auto"/>
          <w:highlight w:val="none"/>
          <w:lang w:eastAsia="zh-CN"/>
        </w:rPr>
      </w:pPr>
    </w:p>
    <w:p>
      <w:pPr>
        <w:pStyle w:val="38"/>
        <w:pageBreakBefore w:val="0"/>
        <w:kinsoku/>
        <w:wordWrap/>
        <w:overflowPunct/>
        <w:topLinePunct w:val="0"/>
        <w:bidi w:val="0"/>
        <w:snapToGrid w:val="0"/>
        <w:spacing w:line="560" w:lineRule="exact"/>
        <w:jc w:val="right"/>
        <w:outlineLvl w:val="0"/>
        <w:rPr>
          <w:rFonts w:hint="eastAsia" w:ascii="楷体" w:hAnsi="楷体" w:eastAsia="楷体" w:cs="楷体"/>
          <w:color w:val="auto"/>
          <w:sz w:val="28"/>
          <w:szCs w:val="24"/>
          <w:highlight w:val="none"/>
          <w:lang w:eastAsia="zh-CN"/>
        </w:rPr>
      </w:pPr>
      <w:bookmarkStart w:id="141" w:name="_Toc16340"/>
      <w:bookmarkStart w:id="142" w:name="_Toc433"/>
      <w:r>
        <w:rPr>
          <w:rFonts w:hint="eastAsia" w:ascii="楷体" w:hAnsi="楷体" w:eastAsia="楷体" w:cs="楷体"/>
          <w:color w:val="auto"/>
          <w:sz w:val="28"/>
          <w:szCs w:val="24"/>
          <w:highlight w:val="none"/>
          <w:lang w:eastAsia="zh-CN"/>
        </w:rPr>
        <w:t>正</w:t>
      </w:r>
      <w:r>
        <w:rPr>
          <w:rFonts w:hint="eastAsia" w:ascii="楷体" w:hAnsi="楷体" w:eastAsia="楷体" w:cs="楷体"/>
          <w:color w:val="auto"/>
          <w:sz w:val="28"/>
          <w:szCs w:val="24"/>
          <w:highlight w:val="none"/>
          <w:lang w:val="en-US" w:eastAsia="zh-CN"/>
        </w:rPr>
        <w:t>/</w:t>
      </w:r>
      <w:r>
        <w:rPr>
          <w:rFonts w:hint="eastAsia" w:ascii="楷体" w:hAnsi="楷体" w:eastAsia="楷体" w:cs="楷体"/>
          <w:color w:val="auto"/>
          <w:sz w:val="28"/>
          <w:szCs w:val="24"/>
          <w:highlight w:val="none"/>
          <w:lang w:eastAsia="zh-CN"/>
        </w:rPr>
        <w:t>副本</w:t>
      </w:r>
      <w:bookmarkEnd w:id="141"/>
      <w:bookmarkEnd w:id="142"/>
    </w:p>
    <w:p>
      <w:pPr>
        <w:pStyle w:val="38"/>
        <w:pageBreakBefore w:val="0"/>
        <w:kinsoku/>
        <w:wordWrap/>
        <w:overflowPunct/>
        <w:topLinePunct w:val="0"/>
        <w:bidi w:val="0"/>
        <w:snapToGrid w:val="0"/>
        <w:spacing w:line="560" w:lineRule="exact"/>
        <w:jc w:val="right"/>
        <w:rPr>
          <w:rFonts w:hint="eastAsia" w:ascii="楷体" w:hAnsi="楷体" w:eastAsia="楷体" w:cs="楷体"/>
          <w:color w:val="auto"/>
          <w:highlight w:val="none"/>
          <w:lang w:eastAsia="zh-CN"/>
        </w:rPr>
      </w:pPr>
    </w:p>
    <w:p>
      <w:pPr>
        <w:pStyle w:val="38"/>
        <w:pageBreakBefore w:val="0"/>
        <w:kinsoku/>
        <w:wordWrap/>
        <w:overflowPunct/>
        <w:topLinePunct w:val="0"/>
        <w:bidi w:val="0"/>
        <w:snapToGrid w:val="0"/>
        <w:spacing w:line="560" w:lineRule="exact"/>
        <w:jc w:val="right"/>
        <w:rPr>
          <w:rFonts w:hint="eastAsia" w:ascii="楷体" w:hAnsi="楷体" w:eastAsia="楷体" w:cs="楷体"/>
          <w:color w:val="auto"/>
          <w:highlight w:val="none"/>
          <w:lang w:eastAsia="zh-CN"/>
        </w:rPr>
      </w:pPr>
    </w:p>
    <w:p>
      <w:pPr>
        <w:pStyle w:val="38"/>
        <w:pageBreakBefore w:val="0"/>
        <w:kinsoku/>
        <w:wordWrap/>
        <w:overflowPunct/>
        <w:topLinePunct w:val="0"/>
        <w:bidi w:val="0"/>
        <w:snapToGrid w:val="0"/>
        <w:spacing w:line="560" w:lineRule="exact"/>
        <w:rPr>
          <w:rFonts w:hint="eastAsia" w:ascii="楷体" w:hAnsi="楷体" w:eastAsia="楷体" w:cs="楷体"/>
          <w:color w:val="auto"/>
          <w:highlight w:val="none"/>
        </w:rPr>
      </w:pPr>
    </w:p>
    <w:p>
      <w:pPr>
        <w:pageBreakBefore w:val="0"/>
        <w:kinsoku/>
        <w:wordWrap/>
        <w:overflowPunct/>
        <w:topLinePunct w:val="0"/>
        <w:bidi w:val="0"/>
        <w:snapToGrid w:val="0"/>
        <w:spacing w:line="560" w:lineRule="exact"/>
        <w:ind w:firstLine="2160" w:firstLineChars="600"/>
        <w:jc w:val="both"/>
        <w:outlineLvl w:val="1"/>
        <w:rPr>
          <w:rFonts w:hint="eastAsia" w:ascii="楷体" w:hAnsi="楷体" w:eastAsia="楷体" w:cs="楷体"/>
          <w:color w:val="auto"/>
          <w:sz w:val="36"/>
          <w:szCs w:val="36"/>
          <w:highlight w:val="none"/>
          <w:u w:val="single"/>
          <w:lang w:val="en-US" w:eastAsia="zh-CN"/>
        </w:rPr>
      </w:pPr>
      <w:bookmarkStart w:id="143" w:name="_Toc3511"/>
      <w:bookmarkStart w:id="144" w:name="_Toc27567"/>
      <w:r>
        <w:rPr>
          <w:rFonts w:hint="eastAsia" w:ascii="楷体" w:hAnsi="楷体" w:eastAsia="楷体" w:cs="楷体"/>
          <w:color w:val="auto"/>
          <w:sz w:val="36"/>
          <w:szCs w:val="36"/>
          <w:highlight w:val="none"/>
          <w:u w:val="single"/>
          <w:lang w:val="en-US" w:eastAsia="zh-CN"/>
        </w:rPr>
        <w:t xml:space="preserve">     </w:t>
      </w:r>
      <w:r>
        <w:rPr>
          <w:rFonts w:hint="eastAsia" w:ascii="楷体" w:hAnsi="楷体" w:eastAsia="楷体" w:cs="楷体"/>
          <w:color w:val="auto"/>
          <w:sz w:val="36"/>
          <w:szCs w:val="36"/>
          <w:highlight w:val="none"/>
          <w:u w:val="single"/>
        </w:rPr>
        <w:t>（项目名称）</w:t>
      </w:r>
      <w:bookmarkEnd w:id="143"/>
      <w:bookmarkEnd w:id="144"/>
      <w:r>
        <w:rPr>
          <w:rFonts w:hint="eastAsia" w:ascii="楷体" w:hAnsi="楷体" w:eastAsia="楷体" w:cs="楷体"/>
          <w:color w:val="auto"/>
          <w:sz w:val="36"/>
          <w:szCs w:val="36"/>
          <w:highlight w:val="none"/>
          <w:u w:val="single"/>
          <w:lang w:val="en-US" w:eastAsia="zh-CN"/>
        </w:rPr>
        <w:t xml:space="preserve">       </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883" w:firstLineChars="200"/>
        <w:jc w:val="center"/>
        <w:rPr>
          <w:rFonts w:hint="eastAsia" w:ascii="楷体" w:hAnsi="楷体" w:eastAsia="楷体" w:cs="楷体"/>
          <w:b/>
          <w:color w:val="auto"/>
          <w:sz w:val="44"/>
          <w:szCs w:val="44"/>
          <w:highlight w:val="none"/>
        </w:rPr>
      </w:pPr>
    </w:p>
    <w:p>
      <w:pPr>
        <w:pageBreakBefore w:val="0"/>
        <w:kinsoku/>
        <w:wordWrap/>
        <w:overflowPunct/>
        <w:topLinePunct w:val="0"/>
        <w:bidi w:val="0"/>
        <w:snapToGrid w:val="0"/>
        <w:spacing w:line="560" w:lineRule="exact"/>
        <w:ind w:firstLine="883" w:firstLineChars="200"/>
        <w:jc w:val="center"/>
        <w:rPr>
          <w:rFonts w:hint="eastAsia" w:ascii="楷体" w:hAnsi="楷体" w:eastAsia="楷体" w:cs="楷体"/>
          <w:b/>
          <w:color w:val="auto"/>
          <w:sz w:val="44"/>
          <w:szCs w:val="44"/>
          <w:highlight w:val="none"/>
        </w:rPr>
      </w:pPr>
    </w:p>
    <w:p>
      <w:pPr>
        <w:pageBreakBefore w:val="0"/>
        <w:kinsoku/>
        <w:wordWrap/>
        <w:overflowPunct/>
        <w:topLinePunct w:val="0"/>
        <w:bidi w:val="0"/>
        <w:snapToGrid w:val="0"/>
        <w:spacing w:line="560" w:lineRule="exact"/>
        <w:jc w:val="center"/>
        <w:rPr>
          <w:rFonts w:hint="eastAsia" w:ascii="楷体" w:hAnsi="楷体" w:eastAsia="楷体" w:cs="楷体"/>
          <w:b/>
          <w:color w:val="auto"/>
          <w:sz w:val="44"/>
          <w:szCs w:val="44"/>
          <w:highlight w:val="none"/>
        </w:rPr>
      </w:pPr>
      <w:r>
        <w:rPr>
          <w:rFonts w:hint="eastAsia" w:ascii="楷体" w:hAnsi="楷体" w:eastAsia="楷体" w:cs="楷体"/>
          <w:b/>
          <w:color w:val="auto"/>
          <w:sz w:val="44"/>
          <w:szCs w:val="44"/>
          <w:highlight w:val="none"/>
        </w:rPr>
        <w:t>响 应 文 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pStyle w:val="14"/>
        <w:rPr>
          <w:rFonts w:hint="eastAsia" w:ascii="楷体" w:hAnsi="楷体" w:eastAsia="楷体" w:cs="楷体"/>
          <w:color w:val="auto"/>
          <w:highlight w:val="none"/>
        </w:rPr>
      </w:pPr>
    </w:p>
    <w:p>
      <w:pPr>
        <w:pageBreakBefore w:val="0"/>
        <w:kinsoku/>
        <w:wordWrap/>
        <w:overflowPunct/>
        <w:topLinePunct w:val="0"/>
        <w:bidi w:val="0"/>
        <w:snapToGrid w:val="0"/>
        <w:spacing w:line="560" w:lineRule="exact"/>
        <w:ind w:firstLine="1120" w:firstLineChars="400"/>
        <w:outlineLvl w:val="1"/>
        <w:rPr>
          <w:rFonts w:hint="eastAsia" w:ascii="楷体" w:hAnsi="楷体" w:eastAsia="楷体" w:cs="楷体"/>
          <w:color w:val="auto"/>
          <w:sz w:val="28"/>
          <w:szCs w:val="28"/>
          <w:highlight w:val="none"/>
          <w:u w:val="single"/>
        </w:rPr>
      </w:pPr>
      <w:bookmarkStart w:id="145" w:name="_Toc9914"/>
      <w:bookmarkStart w:id="146" w:name="_Toc1128"/>
      <w:r>
        <w:rPr>
          <w:rFonts w:hint="eastAsia" w:ascii="楷体" w:hAnsi="楷体" w:eastAsia="楷体" w:cs="楷体"/>
          <w:color w:val="auto"/>
          <w:sz w:val="28"/>
          <w:szCs w:val="28"/>
          <w:highlight w:val="none"/>
        </w:rPr>
        <w:t>供应商：</w:t>
      </w:r>
      <w:bookmarkEnd w:id="145"/>
      <w:bookmarkEnd w:id="146"/>
      <w:r>
        <w:rPr>
          <w:rFonts w:hint="eastAsia" w:ascii="楷体" w:hAnsi="楷体" w:eastAsia="楷体" w:cs="楷体"/>
          <w:color w:val="auto"/>
          <w:sz w:val="28"/>
          <w:szCs w:val="28"/>
          <w:highlight w:val="none"/>
          <w:u w:val="single"/>
        </w:rPr>
        <w:t xml:space="preserve">                                          </w:t>
      </w:r>
    </w:p>
    <w:p>
      <w:pPr>
        <w:pStyle w:val="2"/>
        <w:rPr>
          <w:rFonts w:hint="default" w:eastAsia="楷体"/>
          <w:lang w:val="en-US" w:eastAsia="zh-CN"/>
        </w:rPr>
      </w:pPr>
    </w:p>
    <w:p>
      <w:pPr>
        <w:pageBreakBefore w:val="0"/>
        <w:kinsoku/>
        <w:wordWrap/>
        <w:overflowPunct/>
        <w:topLinePunct w:val="0"/>
        <w:bidi w:val="0"/>
        <w:snapToGrid w:val="0"/>
        <w:spacing w:line="560" w:lineRule="exact"/>
        <w:ind w:firstLine="1120" w:firstLineChars="400"/>
        <w:outlineLvl w:val="1"/>
        <w:rPr>
          <w:rFonts w:hint="eastAsia" w:ascii="楷体" w:hAnsi="楷体" w:eastAsia="楷体" w:cs="楷体"/>
          <w:color w:val="auto"/>
          <w:sz w:val="28"/>
          <w:szCs w:val="28"/>
          <w:highlight w:val="none"/>
          <w:u w:val="single"/>
        </w:rPr>
      </w:pPr>
      <w:r>
        <w:rPr>
          <w:rFonts w:hint="eastAsia" w:ascii="楷体" w:hAnsi="楷体" w:eastAsia="楷体" w:cs="楷体"/>
          <w:color w:val="auto"/>
          <w:sz w:val="28"/>
          <w:szCs w:val="28"/>
          <w:highlight w:val="none"/>
          <w:lang w:eastAsia="zh-CN"/>
        </w:rPr>
        <w:t>联系人及手机号</w:t>
      </w:r>
      <w:r>
        <w:rPr>
          <w:rFonts w:hint="eastAsia" w:ascii="楷体" w:hAnsi="楷体" w:eastAsia="楷体" w:cs="楷体"/>
          <w:color w:val="auto"/>
          <w:sz w:val="28"/>
          <w:szCs w:val="28"/>
          <w:highlight w:val="none"/>
        </w:rPr>
        <w:t>：</w:t>
      </w:r>
      <w:r>
        <w:rPr>
          <w:rFonts w:hint="eastAsia" w:ascii="楷体" w:hAnsi="楷体" w:eastAsia="楷体" w:cs="楷体"/>
          <w:color w:val="auto"/>
          <w:sz w:val="28"/>
          <w:szCs w:val="28"/>
          <w:highlight w:val="none"/>
          <w:u w:val="single"/>
        </w:rPr>
        <w:t xml:space="preserve">                                   </w:t>
      </w:r>
    </w:p>
    <w:p>
      <w:pPr>
        <w:pageBreakBefore w:val="0"/>
        <w:kinsoku/>
        <w:wordWrap/>
        <w:overflowPunct/>
        <w:topLinePunct w:val="0"/>
        <w:bidi w:val="0"/>
        <w:snapToGrid w:val="0"/>
        <w:spacing w:line="560" w:lineRule="exact"/>
        <w:ind w:firstLine="3080" w:firstLineChars="1100"/>
        <w:outlineLvl w:val="1"/>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u w:val="single"/>
        </w:rPr>
        <w:t xml:space="preserve">      </w:t>
      </w:r>
      <w:bookmarkStart w:id="147" w:name="_Toc29426"/>
      <w:bookmarkStart w:id="148" w:name="_Toc7864"/>
      <w:r>
        <w:rPr>
          <w:rFonts w:hint="eastAsia" w:ascii="楷体" w:hAnsi="楷体" w:eastAsia="楷体" w:cs="楷体"/>
          <w:color w:val="auto"/>
          <w:sz w:val="28"/>
          <w:szCs w:val="28"/>
          <w:highlight w:val="none"/>
        </w:rPr>
        <w:t>年</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月</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日</w:t>
      </w:r>
      <w:bookmarkEnd w:id="147"/>
      <w:bookmarkEnd w:id="148"/>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sectPr>
          <w:headerReference r:id="rId4" w:type="default"/>
          <w:pgSz w:w="11906" w:h="16838"/>
          <w:pgMar w:top="1440" w:right="1800" w:bottom="1440" w:left="1800" w:header="851" w:footer="992" w:gutter="0"/>
          <w:cols w:space="425" w:num="1"/>
          <w:docGrid w:type="lines" w:linePitch="312" w:charSpace="0"/>
        </w:sectPr>
      </w:pPr>
    </w:p>
    <w:p>
      <w:pPr>
        <w:pageBreakBefore w:val="0"/>
        <w:kinsoku/>
        <w:wordWrap/>
        <w:overflowPunct/>
        <w:topLinePunct w:val="0"/>
        <w:bidi w:val="0"/>
        <w:snapToGrid w:val="0"/>
        <w:spacing w:line="560" w:lineRule="exact"/>
        <w:jc w:val="center"/>
        <w:outlineLvl w:val="1"/>
        <w:rPr>
          <w:rFonts w:hint="eastAsia" w:ascii="楷体" w:hAnsi="楷体" w:eastAsia="楷体" w:cs="楷体"/>
          <w:b/>
          <w:color w:val="auto"/>
          <w:sz w:val="32"/>
          <w:szCs w:val="32"/>
          <w:highlight w:val="none"/>
        </w:rPr>
      </w:pPr>
      <w:bookmarkStart w:id="149" w:name="_Toc10924"/>
      <w:bookmarkStart w:id="150" w:name="_Toc10380"/>
      <w:r>
        <w:rPr>
          <w:rFonts w:hint="eastAsia" w:ascii="楷体" w:hAnsi="楷体" w:eastAsia="楷体" w:cs="楷体"/>
          <w:b/>
          <w:color w:val="auto"/>
          <w:sz w:val="32"/>
          <w:szCs w:val="32"/>
          <w:highlight w:val="none"/>
        </w:rPr>
        <w:t>目  录</w:t>
      </w:r>
      <w:bookmarkEnd w:id="149"/>
      <w:bookmarkEnd w:id="150"/>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rPr>
      </w:pPr>
      <w:bookmarkStart w:id="151" w:name="_Toc17655"/>
      <w:bookmarkStart w:id="152" w:name="_Toc12557"/>
      <w:r>
        <w:rPr>
          <w:rFonts w:hint="eastAsia" w:ascii="楷体" w:hAnsi="楷体" w:eastAsia="楷体" w:cs="楷体"/>
          <w:color w:val="auto"/>
          <w:sz w:val="24"/>
          <w:highlight w:val="none"/>
        </w:rPr>
        <w:t>一、响应函</w:t>
      </w:r>
      <w:bookmarkEnd w:id="151"/>
      <w:bookmarkEnd w:id="152"/>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rPr>
      </w:pPr>
      <w:bookmarkStart w:id="153" w:name="_Toc19760"/>
      <w:bookmarkStart w:id="154" w:name="_Toc13683"/>
      <w:r>
        <w:rPr>
          <w:rFonts w:hint="eastAsia" w:ascii="楷体" w:hAnsi="楷体" w:eastAsia="楷体" w:cs="楷体"/>
          <w:color w:val="auto"/>
          <w:sz w:val="24"/>
          <w:highlight w:val="none"/>
        </w:rPr>
        <w:t>二、</w:t>
      </w:r>
      <w:r>
        <w:rPr>
          <w:rFonts w:hint="eastAsia" w:ascii="楷体" w:hAnsi="楷体" w:eastAsia="楷体" w:cs="楷体"/>
          <w:color w:val="auto"/>
          <w:sz w:val="24"/>
          <w:highlight w:val="none"/>
          <w:lang w:eastAsia="zh-CN"/>
        </w:rPr>
        <w:t>法定代表人身份证明或法定代表人</w:t>
      </w:r>
      <w:r>
        <w:rPr>
          <w:rFonts w:hint="eastAsia" w:ascii="楷体" w:hAnsi="楷体" w:eastAsia="楷体" w:cs="楷体"/>
          <w:color w:val="auto"/>
          <w:sz w:val="24"/>
          <w:highlight w:val="none"/>
        </w:rPr>
        <w:t>授权委托书</w:t>
      </w:r>
      <w:bookmarkEnd w:id="153"/>
      <w:bookmarkEnd w:id="154"/>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rPr>
      </w:pPr>
      <w:bookmarkStart w:id="155" w:name="_Toc14783"/>
      <w:bookmarkStart w:id="156" w:name="_Toc250"/>
      <w:r>
        <w:rPr>
          <w:rFonts w:hint="eastAsia" w:ascii="楷体" w:hAnsi="楷体" w:eastAsia="楷体" w:cs="楷体"/>
          <w:color w:val="auto"/>
          <w:sz w:val="24"/>
          <w:highlight w:val="none"/>
          <w:lang w:val="en-US" w:eastAsia="zh-CN"/>
        </w:rPr>
        <w:t>三</w:t>
      </w:r>
      <w:r>
        <w:rPr>
          <w:rFonts w:hint="eastAsia" w:ascii="楷体" w:hAnsi="楷体" w:eastAsia="楷体" w:cs="楷体"/>
          <w:color w:val="auto"/>
          <w:sz w:val="24"/>
          <w:highlight w:val="none"/>
        </w:rPr>
        <w:t>、商务偏离表</w:t>
      </w:r>
      <w:bookmarkEnd w:id="155"/>
      <w:bookmarkEnd w:id="156"/>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四</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技术规格偏离表</w:t>
      </w:r>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rPr>
      </w:pPr>
      <w:bookmarkStart w:id="157" w:name="_Toc26188"/>
      <w:bookmarkStart w:id="158" w:name="_Toc1530"/>
      <w:r>
        <w:rPr>
          <w:rFonts w:hint="eastAsia" w:ascii="楷体" w:hAnsi="楷体" w:eastAsia="楷体" w:cs="楷体"/>
          <w:color w:val="auto"/>
          <w:sz w:val="24"/>
          <w:highlight w:val="none"/>
          <w:lang w:val="en-US" w:eastAsia="zh-CN"/>
        </w:rPr>
        <w:t>五</w:t>
      </w:r>
      <w:r>
        <w:rPr>
          <w:rFonts w:hint="eastAsia" w:ascii="楷体" w:hAnsi="楷体" w:eastAsia="楷体" w:cs="楷体"/>
          <w:color w:val="auto"/>
          <w:sz w:val="24"/>
          <w:highlight w:val="none"/>
        </w:rPr>
        <w:t>、报价表</w:t>
      </w:r>
      <w:bookmarkEnd w:id="157"/>
      <w:bookmarkEnd w:id="158"/>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rPr>
      </w:pPr>
      <w:bookmarkStart w:id="159" w:name="_Toc8640"/>
      <w:bookmarkStart w:id="160" w:name="_Toc8773"/>
      <w:r>
        <w:rPr>
          <w:rFonts w:hint="eastAsia" w:ascii="楷体" w:hAnsi="楷体" w:eastAsia="楷体" w:cs="楷体"/>
          <w:color w:val="auto"/>
          <w:sz w:val="24"/>
          <w:highlight w:val="none"/>
          <w:lang w:val="en-US" w:eastAsia="zh-CN"/>
        </w:rPr>
        <w:t>六</w:t>
      </w:r>
      <w:r>
        <w:rPr>
          <w:rFonts w:hint="eastAsia" w:ascii="楷体" w:hAnsi="楷体" w:eastAsia="楷体" w:cs="楷体"/>
          <w:color w:val="auto"/>
          <w:sz w:val="24"/>
          <w:highlight w:val="none"/>
        </w:rPr>
        <w:t>、资格审查</w:t>
      </w:r>
      <w:r>
        <w:rPr>
          <w:rFonts w:hint="eastAsia" w:ascii="楷体" w:hAnsi="楷体" w:eastAsia="楷体" w:cs="楷体"/>
          <w:color w:val="auto"/>
          <w:sz w:val="24"/>
          <w:highlight w:val="none"/>
          <w:lang w:eastAsia="zh-CN"/>
        </w:rPr>
        <w:t>及相关</w:t>
      </w:r>
      <w:r>
        <w:rPr>
          <w:rFonts w:hint="eastAsia" w:ascii="楷体" w:hAnsi="楷体" w:eastAsia="楷体" w:cs="楷体"/>
          <w:color w:val="auto"/>
          <w:sz w:val="24"/>
          <w:highlight w:val="none"/>
        </w:rPr>
        <w:t>资料</w:t>
      </w:r>
      <w:bookmarkEnd w:id="159"/>
      <w:bookmarkEnd w:id="160"/>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lang w:eastAsia="zh-CN"/>
        </w:rPr>
      </w:pPr>
      <w:bookmarkStart w:id="161" w:name="_Toc20650"/>
      <w:bookmarkStart w:id="162" w:name="_Toc31443"/>
      <w:r>
        <w:rPr>
          <w:rFonts w:hint="eastAsia" w:ascii="楷体" w:hAnsi="楷体" w:eastAsia="楷体" w:cs="楷体"/>
          <w:color w:val="auto"/>
          <w:sz w:val="24"/>
          <w:highlight w:val="none"/>
          <w:lang w:val="en-US" w:eastAsia="zh-CN"/>
        </w:rPr>
        <w:t>七</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实施方案</w:t>
      </w:r>
      <w:bookmarkEnd w:id="161"/>
      <w:bookmarkEnd w:id="162"/>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lang w:val="en-US" w:eastAsia="zh-CN"/>
        </w:rPr>
      </w:pPr>
      <w:bookmarkStart w:id="163" w:name="_Toc9303"/>
      <w:bookmarkStart w:id="164" w:name="_Toc26877"/>
      <w:r>
        <w:rPr>
          <w:rFonts w:hint="eastAsia" w:ascii="楷体" w:hAnsi="楷体" w:eastAsia="楷体" w:cs="楷体"/>
          <w:color w:val="auto"/>
          <w:sz w:val="24"/>
          <w:highlight w:val="none"/>
          <w:lang w:val="en-US" w:eastAsia="zh-CN"/>
        </w:rPr>
        <w:t>八</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业绩（如有）</w:t>
      </w:r>
    </w:p>
    <w:p>
      <w:pPr>
        <w:pageBreakBefore w:val="0"/>
        <w:kinsoku/>
        <w:wordWrap/>
        <w:overflowPunct/>
        <w:topLinePunct w:val="0"/>
        <w:bidi w:val="0"/>
        <w:snapToGrid w:val="0"/>
        <w:spacing w:line="560" w:lineRule="exact"/>
        <w:ind w:firstLine="480" w:firstLineChars="200"/>
        <w:outlineLvl w:val="0"/>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九、</w:t>
      </w:r>
      <w:r>
        <w:rPr>
          <w:rFonts w:hint="eastAsia" w:ascii="楷体" w:hAnsi="楷体" w:eastAsia="楷体" w:cs="楷体"/>
          <w:color w:val="auto"/>
          <w:sz w:val="24"/>
          <w:highlight w:val="none"/>
        </w:rPr>
        <w:t>其他资料</w:t>
      </w:r>
      <w:bookmarkEnd w:id="163"/>
      <w:bookmarkEnd w:id="164"/>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sectPr>
          <w:pgSz w:w="11906" w:h="16838"/>
          <w:pgMar w:top="1440" w:right="1800" w:bottom="1440" w:left="1800" w:header="851" w:footer="992" w:gutter="0"/>
          <w:cols w:space="425" w:num="1"/>
          <w:docGrid w:type="lines" w:linePitch="312" w:charSpace="0"/>
        </w:sectPr>
      </w:pPr>
    </w:p>
    <w:p>
      <w:pPr>
        <w:pStyle w:val="4"/>
        <w:pageBreakBefore w:val="0"/>
        <w:kinsoku/>
        <w:wordWrap/>
        <w:overflowPunct/>
        <w:topLinePunct w:val="0"/>
        <w:bidi w:val="0"/>
        <w:snapToGrid w:val="0"/>
        <w:spacing w:before="156" w:after="156" w:line="560" w:lineRule="exact"/>
        <w:jc w:val="center"/>
        <w:outlineLvl w:val="0"/>
        <w:rPr>
          <w:rFonts w:hint="eastAsia" w:ascii="楷体" w:hAnsi="楷体" w:eastAsia="楷体" w:cs="楷体"/>
          <w:color w:val="auto"/>
          <w:highlight w:val="none"/>
        </w:rPr>
      </w:pPr>
      <w:bookmarkStart w:id="165" w:name="_Toc53945732"/>
      <w:bookmarkStart w:id="166" w:name="_Toc7103"/>
      <w:bookmarkStart w:id="167" w:name="_Toc5681"/>
      <w:r>
        <w:rPr>
          <w:rFonts w:hint="eastAsia" w:ascii="楷体" w:hAnsi="楷体" w:eastAsia="楷体" w:cs="楷体"/>
          <w:color w:val="auto"/>
          <w:highlight w:val="none"/>
        </w:rPr>
        <w:t>一、响应函</w:t>
      </w:r>
      <w:bookmarkEnd w:id="165"/>
      <w:bookmarkEnd w:id="166"/>
      <w:bookmarkEnd w:id="167"/>
    </w:p>
    <w:p>
      <w:pPr>
        <w:pageBreakBefore w:val="0"/>
        <w:kinsoku/>
        <w:wordWrap/>
        <w:overflowPunct/>
        <w:topLinePunct w:val="0"/>
        <w:bidi w:val="0"/>
        <w:snapToGrid w:val="0"/>
        <w:spacing w:line="56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u w:val="single"/>
        </w:rPr>
        <w:tab/>
      </w:r>
      <w:r>
        <w:rPr>
          <w:rFonts w:hint="eastAsia" w:ascii="楷体" w:hAnsi="楷体" w:eastAsia="楷体" w:cs="楷体"/>
          <w:color w:val="auto"/>
          <w:sz w:val="24"/>
          <w:highlight w:val="none"/>
          <w:u w:val="single"/>
        </w:rPr>
        <w:t xml:space="preserve">         (采购人名称）</w:t>
      </w:r>
      <w:r>
        <w:rPr>
          <w:rFonts w:hint="eastAsia" w:ascii="楷体" w:hAnsi="楷体" w:eastAsia="楷体" w:cs="楷体"/>
          <w:color w:val="auto"/>
          <w:sz w:val="24"/>
          <w:highlight w:val="none"/>
        </w:rPr>
        <w:t>：</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 我方已仔细研究了</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 xml:space="preserve"> (项目名称)采购文件的全部内容，愿意以</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含税价</w:t>
      </w:r>
      <w:r>
        <w:rPr>
          <w:rFonts w:hint="eastAsia" w:ascii="楷体" w:hAnsi="楷体" w:eastAsia="楷体" w:cs="楷体"/>
          <w:color w:val="auto"/>
          <w:sz w:val="24"/>
          <w:highlight w:val="none"/>
          <w:lang w:val="en-US" w:eastAsia="zh-CN"/>
        </w:rPr>
        <w:t>报价）人民币</w:t>
      </w:r>
      <w:r>
        <w:rPr>
          <w:rFonts w:hint="eastAsia" w:ascii="楷体" w:hAnsi="楷体" w:eastAsia="楷体" w:cs="楷体"/>
          <w:color w:val="auto"/>
          <w:sz w:val="24"/>
          <w:highlight w:val="none"/>
          <w:u w:val="single"/>
          <w:lang w:val="en-US" w:eastAsia="zh-CN"/>
        </w:rPr>
        <w:t xml:space="preserve">          </w:t>
      </w:r>
      <w:r>
        <w:rPr>
          <w:rFonts w:hint="eastAsia" w:ascii="楷体" w:hAnsi="楷体" w:eastAsia="楷体" w:cs="楷体"/>
          <w:color w:val="auto"/>
          <w:sz w:val="24"/>
          <w:highlight w:val="none"/>
          <w:u w:val="none"/>
          <w:lang w:val="en-US" w:eastAsia="zh-CN"/>
        </w:rPr>
        <w:t>元，完成时限</w:t>
      </w:r>
      <w:r>
        <w:rPr>
          <w:rFonts w:hint="eastAsia" w:ascii="楷体" w:hAnsi="楷体" w:eastAsia="楷体" w:cs="楷体"/>
          <w:color w:val="auto"/>
          <w:sz w:val="24"/>
          <w:highlight w:val="none"/>
          <w:u w:val="single"/>
          <w:lang w:val="en-US" w:eastAsia="zh-CN"/>
        </w:rPr>
        <w:t xml:space="preserve">          </w:t>
      </w:r>
      <w:r>
        <w:rPr>
          <w:rFonts w:hint="eastAsia" w:ascii="楷体" w:hAnsi="楷体" w:eastAsia="楷体" w:cs="楷体"/>
          <w:color w:val="auto"/>
          <w:sz w:val="24"/>
          <w:highlight w:val="none"/>
          <w:u w:val="none"/>
          <w:lang w:val="en-US" w:eastAsia="zh-CN"/>
        </w:rPr>
        <w:t>，质量要求</w:t>
      </w:r>
      <w:r>
        <w:rPr>
          <w:rFonts w:hint="eastAsia" w:ascii="楷体" w:hAnsi="楷体" w:eastAsia="楷体" w:cs="楷体"/>
          <w:color w:val="auto"/>
          <w:sz w:val="24"/>
          <w:highlight w:val="none"/>
          <w:u w:val="single"/>
          <w:lang w:val="en-US" w:eastAsia="zh-CN"/>
        </w:rPr>
        <w:t xml:space="preserve">       </w:t>
      </w:r>
      <w:r>
        <w:rPr>
          <w:rFonts w:hint="eastAsia" w:ascii="楷体" w:hAnsi="楷体" w:eastAsia="楷体" w:cs="楷体"/>
          <w:color w:val="auto"/>
          <w:sz w:val="24"/>
          <w:highlight w:val="none"/>
        </w:rPr>
        <w:t>完成本项目，并按合同约定履行义务。</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2.我方的响应文件包括下列内容：</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bookmarkStart w:id="168" w:name="_Toc18939"/>
      <w:bookmarkStart w:id="169" w:name="_Toc25372"/>
      <w:r>
        <w:rPr>
          <w:rFonts w:hint="eastAsia" w:ascii="楷体" w:hAnsi="楷体" w:eastAsia="楷体" w:cs="楷体"/>
          <w:color w:val="auto"/>
          <w:sz w:val="24"/>
          <w:highlight w:val="none"/>
        </w:rPr>
        <w:t>(1)响应函；</w:t>
      </w:r>
      <w:bookmarkEnd w:id="168"/>
      <w:bookmarkEnd w:id="169"/>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bookmarkStart w:id="170" w:name="_Toc25248"/>
      <w:bookmarkStart w:id="171" w:name="_Toc10230"/>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eastAsia="zh-CN"/>
        </w:rPr>
        <w:t>法定代表人身份证明或法定代表人</w:t>
      </w:r>
      <w:r>
        <w:rPr>
          <w:rFonts w:hint="eastAsia" w:ascii="楷体" w:hAnsi="楷体" w:eastAsia="楷体" w:cs="楷体"/>
          <w:color w:val="auto"/>
          <w:sz w:val="24"/>
          <w:highlight w:val="none"/>
        </w:rPr>
        <w:t>授权委托书</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w:t>
      </w:r>
      <w:bookmarkEnd w:id="170"/>
      <w:bookmarkEnd w:id="171"/>
      <w:bookmarkStart w:id="172" w:name="_Toc2580"/>
      <w:bookmarkStart w:id="173" w:name="_Toc23941"/>
      <w:r>
        <w:rPr>
          <w:rFonts w:hint="eastAsia" w:ascii="楷体" w:hAnsi="楷体" w:eastAsia="楷体" w:cs="楷体"/>
          <w:color w:val="auto"/>
          <w:sz w:val="24"/>
          <w:highlight w:val="none"/>
        </w:rPr>
        <w:t>商务偏离表；</w:t>
      </w:r>
      <w:bookmarkEnd w:id="172"/>
      <w:bookmarkEnd w:id="173"/>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)技术规格偏离表</w:t>
      </w:r>
      <w:r>
        <w:rPr>
          <w:rFonts w:hint="eastAsia" w:ascii="楷体" w:hAnsi="楷体" w:eastAsia="楷体" w:cs="楷体"/>
          <w:color w:val="auto"/>
          <w:sz w:val="24"/>
          <w:highlight w:val="none"/>
          <w:lang w:eastAsia="zh-CN"/>
        </w:rPr>
        <w:t>；</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bookmarkStart w:id="174" w:name="_Toc29101"/>
      <w:bookmarkStart w:id="175" w:name="_Toc22337"/>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)报价表；</w:t>
      </w:r>
      <w:bookmarkEnd w:id="174"/>
      <w:bookmarkEnd w:id="175"/>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bookmarkStart w:id="176" w:name="_Toc7692"/>
      <w:bookmarkStart w:id="177" w:name="_Toc4906"/>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)资格审查</w:t>
      </w:r>
      <w:r>
        <w:rPr>
          <w:rFonts w:hint="eastAsia" w:ascii="楷体" w:hAnsi="楷体" w:eastAsia="楷体" w:cs="楷体"/>
          <w:color w:val="auto"/>
          <w:sz w:val="24"/>
          <w:highlight w:val="none"/>
          <w:lang w:eastAsia="zh-CN"/>
        </w:rPr>
        <w:t>及相关</w:t>
      </w:r>
      <w:r>
        <w:rPr>
          <w:rFonts w:hint="eastAsia" w:ascii="楷体" w:hAnsi="楷体" w:eastAsia="楷体" w:cs="楷体"/>
          <w:color w:val="auto"/>
          <w:sz w:val="24"/>
          <w:highlight w:val="none"/>
        </w:rPr>
        <w:t>资料；</w:t>
      </w:r>
      <w:bookmarkEnd w:id="176"/>
      <w:bookmarkEnd w:id="177"/>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bookmarkStart w:id="178" w:name="_Toc24457"/>
      <w:bookmarkStart w:id="179" w:name="_Toc5089"/>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实施方案</w:t>
      </w:r>
      <w:r>
        <w:rPr>
          <w:rFonts w:hint="eastAsia" w:ascii="楷体" w:hAnsi="楷体" w:eastAsia="楷体" w:cs="楷体"/>
          <w:color w:val="auto"/>
          <w:sz w:val="24"/>
          <w:highlight w:val="none"/>
        </w:rPr>
        <w:t>；</w:t>
      </w:r>
      <w:bookmarkEnd w:id="178"/>
      <w:bookmarkEnd w:id="179"/>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业绩（如有）；</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其他资料；</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r>
        <w:rPr>
          <w:rFonts w:hint="eastAsia" w:ascii="楷体" w:hAnsi="楷体" w:eastAsia="楷体" w:cs="楷体"/>
          <w:color w:val="auto"/>
          <w:sz w:val="24"/>
          <w:highlight w:val="none"/>
        </w:rPr>
        <w:t>响应文件的上述组成部分如存在内容不一致的，以响应函为准。</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3.我方承诺除商务和技术偏差表列出的偏差外，我方响应采购文件的全部要求。</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4.我方承诺在采购文件规定的响应文件有效期</w:t>
      </w:r>
      <w:r>
        <w:rPr>
          <w:rFonts w:hint="eastAsia" w:ascii="楷体" w:hAnsi="楷体" w:eastAsia="楷体" w:cs="楷体"/>
          <w:color w:val="auto"/>
          <w:sz w:val="24"/>
          <w:highlight w:val="none"/>
          <w:u w:val="single"/>
          <w:lang w:val="en-US" w:eastAsia="zh-CN"/>
        </w:rPr>
        <w:t xml:space="preserve">    </w:t>
      </w:r>
      <w:r>
        <w:rPr>
          <w:rFonts w:hint="eastAsia" w:ascii="楷体" w:hAnsi="楷体" w:eastAsia="楷体" w:cs="楷体"/>
          <w:color w:val="auto"/>
          <w:sz w:val="24"/>
          <w:highlight w:val="none"/>
          <w:lang w:val="en-US" w:eastAsia="zh-CN"/>
        </w:rPr>
        <w:t>天</w:t>
      </w:r>
      <w:r>
        <w:rPr>
          <w:rFonts w:hint="eastAsia" w:ascii="楷体" w:hAnsi="楷体" w:eastAsia="楷体" w:cs="楷体"/>
          <w:color w:val="auto"/>
          <w:sz w:val="24"/>
          <w:highlight w:val="none"/>
        </w:rPr>
        <w:t>内不撤销响应文件。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5.如我方成交，我方承诺：</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(1)在收到成交通知书后，在成交通知书规定的期限内与你方签订合同；</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(2)在签订合同时不向你方提出附加条件；</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(3)按照采购文件要求递交履约保证金；</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(4)在合同约定的期限内完成合同规定的全部义务。</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6.我方在此声明，所递交的响应文件及有关资料内容完整、真实和准确，且不存在第一章“询比采购公告”中规定的供应商不得存在的情形。</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7.</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 xml:space="preserve"> (其他补充说明）。</w:t>
      </w:r>
    </w:p>
    <w:p>
      <w:pPr>
        <w:pageBreakBefore w:val="0"/>
        <w:kinsoku/>
        <w:wordWrap/>
        <w:overflowPunct/>
        <w:topLinePunct w:val="0"/>
        <w:bidi w:val="0"/>
        <w:snapToGrid w:val="0"/>
        <w:spacing w:line="560" w:lineRule="exact"/>
        <w:ind w:firstLine="2400" w:firstLineChars="1000"/>
        <w:rPr>
          <w:rFonts w:hint="eastAsia" w:ascii="楷体" w:hAnsi="楷体" w:eastAsia="楷体" w:cs="楷体"/>
          <w:color w:val="auto"/>
          <w:sz w:val="24"/>
          <w:highlight w:val="none"/>
        </w:rPr>
      </w:pPr>
      <w:r>
        <w:rPr>
          <w:rFonts w:hint="eastAsia" w:ascii="楷体" w:hAnsi="楷体" w:eastAsia="楷体" w:cs="楷体"/>
          <w:color w:val="auto"/>
          <w:sz w:val="24"/>
          <w:highlight w:val="none"/>
        </w:rPr>
        <w:t>供 应 商：</w:t>
      </w:r>
      <w:r>
        <w:rPr>
          <w:rFonts w:hint="eastAsia" w:ascii="楷体" w:hAnsi="楷体" w:eastAsia="楷体" w:cs="楷体"/>
          <w:color w:val="auto"/>
          <w:sz w:val="24"/>
          <w:highlight w:val="none"/>
          <w:u w:val="single"/>
        </w:rPr>
        <w:t xml:space="preserve">                           (盖单位章)</w:t>
      </w:r>
    </w:p>
    <w:p>
      <w:pPr>
        <w:pageBreakBefore w:val="0"/>
        <w:kinsoku/>
        <w:wordWrap/>
        <w:overflowPunct/>
        <w:topLinePunct w:val="0"/>
        <w:bidi w:val="0"/>
        <w:snapToGrid w:val="0"/>
        <w:spacing w:line="560" w:lineRule="exact"/>
        <w:jc w:val="right"/>
        <w:rPr>
          <w:rFonts w:hint="eastAsia" w:ascii="楷体" w:hAnsi="楷体" w:eastAsia="楷体" w:cs="楷体"/>
          <w:color w:val="auto"/>
          <w:sz w:val="24"/>
          <w:highlight w:val="none"/>
        </w:rPr>
      </w:pPr>
      <w:r>
        <w:rPr>
          <w:rFonts w:hint="eastAsia" w:ascii="楷体" w:hAnsi="楷体" w:eastAsia="楷体" w:cs="楷体"/>
          <w:color w:val="auto"/>
          <w:sz w:val="24"/>
          <w:highlight w:val="none"/>
        </w:rPr>
        <w:t>法定代表人(单位负责人）或其授权的代理人：</w:t>
      </w:r>
      <w:r>
        <w:rPr>
          <w:rFonts w:hint="eastAsia" w:ascii="楷体" w:hAnsi="楷体" w:eastAsia="楷体" w:cs="楷体"/>
          <w:color w:val="auto"/>
          <w:sz w:val="24"/>
          <w:highlight w:val="none"/>
          <w:u w:val="single"/>
        </w:rPr>
        <w:tab/>
      </w:r>
      <w:r>
        <w:rPr>
          <w:rFonts w:hint="eastAsia" w:ascii="楷体" w:hAnsi="楷体" w:eastAsia="楷体" w:cs="楷体"/>
          <w:color w:val="auto"/>
          <w:sz w:val="24"/>
          <w:highlight w:val="none"/>
          <w:u w:val="single"/>
          <w:lang w:val="en-US" w:eastAsia="zh-CN"/>
        </w:rPr>
        <w:t xml:space="preserve">   </w:t>
      </w:r>
      <w:r>
        <w:rPr>
          <w:rFonts w:hint="eastAsia" w:ascii="楷体" w:hAnsi="楷体" w:eastAsia="楷体" w:cs="楷体"/>
          <w:color w:val="auto"/>
          <w:sz w:val="24"/>
          <w:highlight w:val="none"/>
        </w:rPr>
        <w:t>(签字</w:t>
      </w:r>
      <w:r>
        <w:rPr>
          <w:rFonts w:hint="eastAsia" w:ascii="楷体" w:hAnsi="楷体" w:eastAsia="楷体" w:cs="楷体"/>
          <w:color w:val="auto"/>
          <w:sz w:val="24"/>
          <w:highlight w:val="none"/>
          <w:lang w:eastAsia="zh-CN"/>
        </w:rPr>
        <w:t>或签章</w:t>
      </w:r>
      <w:r>
        <w:rPr>
          <w:rFonts w:hint="eastAsia" w:ascii="楷体" w:hAnsi="楷体" w:eastAsia="楷体" w:cs="楷体"/>
          <w:color w:val="auto"/>
          <w:sz w:val="24"/>
          <w:highlight w:val="none"/>
        </w:rPr>
        <w:t>)</w:t>
      </w:r>
    </w:p>
    <w:p>
      <w:pPr>
        <w:pageBreakBefore w:val="0"/>
        <w:kinsoku/>
        <w:wordWrap/>
        <w:overflowPunct/>
        <w:topLinePunct w:val="0"/>
        <w:bidi w:val="0"/>
        <w:snapToGrid w:val="0"/>
        <w:spacing w:line="560" w:lineRule="exact"/>
        <w:ind w:firstLine="2400" w:firstLineChars="100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地    址：</w:t>
      </w:r>
      <w:r>
        <w:rPr>
          <w:rFonts w:hint="eastAsia" w:ascii="楷体" w:hAnsi="楷体" w:eastAsia="楷体" w:cs="楷体"/>
          <w:color w:val="auto"/>
          <w:sz w:val="24"/>
          <w:highlight w:val="none"/>
          <w:u w:val="single"/>
        </w:rPr>
        <w:t xml:space="preserve">                                     </w:t>
      </w:r>
    </w:p>
    <w:p>
      <w:pPr>
        <w:pageBreakBefore w:val="0"/>
        <w:kinsoku/>
        <w:wordWrap/>
        <w:overflowPunct/>
        <w:topLinePunct w:val="0"/>
        <w:bidi w:val="0"/>
        <w:snapToGrid w:val="0"/>
        <w:spacing w:line="560" w:lineRule="exact"/>
        <w:ind w:firstLine="2400" w:firstLineChars="100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电子邮箱：</w:t>
      </w:r>
      <w:r>
        <w:rPr>
          <w:rFonts w:hint="eastAsia" w:ascii="楷体" w:hAnsi="楷体" w:eastAsia="楷体" w:cs="楷体"/>
          <w:color w:val="auto"/>
          <w:sz w:val="24"/>
          <w:highlight w:val="none"/>
          <w:u w:val="single"/>
        </w:rPr>
        <w:t xml:space="preserve">                                     </w:t>
      </w:r>
    </w:p>
    <w:p>
      <w:pPr>
        <w:pageBreakBefore w:val="0"/>
        <w:kinsoku/>
        <w:wordWrap/>
        <w:overflowPunct/>
        <w:topLinePunct w:val="0"/>
        <w:bidi w:val="0"/>
        <w:snapToGrid w:val="0"/>
        <w:spacing w:line="560" w:lineRule="exact"/>
        <w:ind w:firstLine="2400" w:firstLineChars="100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电    话：</w:t>
      </w:r>
      <w:r>
        <w:rPr>
          <w:rFonts w:hint="eastAsia" w:ascii="楷体" w:hAnsi="楷体" w:eastAsia="楷体" w:cs="楷体"/>
          <w:color w:val="auto"/>
          <w:sz w:val="24"/>
          <w:highlight w:val="none"/>
          <w:u w:val="single"/>
        </w:rPr>
        <w:t xml:space="preserve">                                     </w:t>
      </w:r>
    </w:p>
    <w:p>
      <w:pPr>
        <w:pageBreakBefore w:val="0"/>
        <w:kinsoku/>
        <w:wordWrap/>
        <w:overflowPunct/>
        <w:topLinePunct w:val="0"/>
        <w:bidi w:val="0"/>
        <w:snapToGrid w:val="0"/>
        <w:spacing w:line="560" w:lineRule="exact"/>
        <w:ind w:firstLine="2400" w:firstLineChars="100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传    真：</w:t>
      </w:r>
      <w:r>
        <w:rPr>
          <w:rFonts w:hint="eastAsia" w:ascii="楷体" w:hAnsi="楷体" w:eastAsia="楷体" w:cs="楷体"/>
          <w:color w:val="auto"/>
          <w:sz w:val="24"/>
          <w:highlight w:val="none"/>
          <w:u w:val="single"/>
        </w:rPr>
        <w:t xml:space="preserve">                                     </w:t>
      </w:r>
    </w:p>
    <w:p>
      <w:pPr>
        <w:pageBreakBefore w:val="0"/>
        <w:kinsoku/>
        <w:wordWrap/>
        <w:overflowPunct/>
        <w:topLinePunct w:val="0"/>
        <w:bidi w:val="0"/>
        <w:snapToGrid w:val="0"/>
        <w:spacing w:line="560" w:lineRule="exact"/>
        <w:ind w:firstLine="2400" w:firstLineChars="100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邮政编码:</w:t>
      </w:r>
      <w:r>
        <w:rPr>
          <w:rFonts w:hint="eastAsia" w:ascii="楷体" w:hAnsi="楷体" w:eastAsia="楷体" w:cs="楷体"/>
          <w:color w:val="auto"/>
          <w:sz w:val="24"/>
          <w:highlight w:val="none"/>
          <w:u w:val="single"/>
        </w:rPr>
        <w:t xml:space="preserve">                                      </w:t>
      </w:r>
    </w:p>
    <w:p>
      <w:pPr>
        <w:pageBreakBefore w:val="0"/>
        <w:kinsoku/>
        <w:bidi w:val="0"/>
        <w:spacing w:line="360" w:lineRule="auto"/>
        <w:ind w:left="0" w:leftChars="0" w:right="0" w:rightChars="0" w:firstLine="2400" w:firstLineChars="100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pStyle w:val="14"/>
        <w:jc w:val="center"/>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响应函附录</w:t>
      </w:r>
    </w:p>
    <w:p>
      <w:pPr>
        <w:rPr>
          <w:rFonts w:hint="eastAsia" w:ascii="楷体" w:hAnsi="楷体" w:eastAsia="楷体" w:cs="楷体"/>
          <w:color w:val="auto"/>
          <w:sz w:val="24"/>
          <w:highlight w:val="none"/>
          <w:lang w:val="en-US" w:eastAsia="zh-CN"/>
        </w:rPr>
      </w:pPr>
    </w:p>
    <w:p>
      <w:pPr>
        <w:pageBreakBefore w:val="0"/>
        <w:kinsoku/>
        <w:bidi w:val="0"/>
        <w:spacing w:line="360" w:lineRule="auto"/>
        <w:ind w:left="0" w:leftChars="0" w:right="0" w:rightChars="0"/>
        <w:outlineLvl w:val="9"/>
        <w:rPr>
          <w:rFonts w:hint="eastAsia" w:ascii="楷体" w:hAnsi="楷体" w:eastAsia="楷体" w:cs="楷体"/>
          <w:color w:val="auto"/>
          <w:sz w:val="24"/>
          <w:highlight w:val="none"/>
        </w:rPr>
      </w:pPr>
      <w:r>
        <w:rPr>
          <w:rFonts w:hint="eastAsia" w:ascii="楷体" w:hAnsi="楷体" w:eastAsia="楷体" w:cs="楷体"/>
          <w:b w:val="0"/>
          <w:bCs/>
          <w:color w:val="auto"/>
          <w:sz w:val="24"/>
          <w:highlight w:val="none"/>
          <w:lang w:val="en-US" w:eastAsia="zh-CN"/>
        </w:rPr>
        <w:t>项目</w:t>
      </w:r>
      <w:r>
        <w:rPr>
          <w:rFonts w:hint="eastAsia" w:ascii="楷体" w:hAnsi="楷体" w:eastAsia="楷体" w:cs="楷体"/>
          <w:b w:val="0"/>
          <w:bCs/>
          <w:color w:val="auto"/>
          <w:sz w:val="24"/>
          <w:highlight w:val="none"/>
        </w:rPr>
        <w:t>名称：</w:t>
      </w:r>
      <w:r>
        <w:rPr>
          <w:rFonts w:hint="eastAsia" w:ascii="楷体" w:hAnsi="楷体" w:eastAsia="楷体" w:cs="楷体"/>
          <w:b w:val="0"/>
          <w:bCs/>
          <w:color w:val="auto"/>
          <w:sz w:val="24"/>
          <w:highlight w:val="none"/>
          <w:u w:val="single"/>
        </w:rPr>
        <w:t xml:space="preserve"> </w:t>
      </w:r>
      <w:r>
        <w:rPr>
          <w:rFonts w:hint="eastAsia" w:ascii="楷体" w:hAnsi="楷体" w:eastAsia="楷体" w:cs="楷体"/>
          <w:color w:val="auto"/>
          <w:sz w:val="24"/>
          <w:highlight w:val="none"/>
          <w:u w:val="single"/>
        </w:rPr>
        <w:t xml:space="preserve">              </w:t>
      </w:r>
    </w:p>
    <w:tbl>
      <w:tblPr>
        <w:tblStyle w:val="3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3314"/>
        <w:gridCol w:w="2859"/>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序 号</w:t>
            </w:r>
          </w:p>
        </w:tc>
        <w:tc>
          <w:tcPr>
            <w:tcW w:w="3314"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条款内容</w:t>
            </w:r>
          </w:p>
        </w:tc>
        <w:tc>
          <w:tcPr>
            <w:tcW w:w="2859"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约定内容</w:t>
            </w:r>
          </w:p>
        </w:tc>
        <w:tc>
          <w:tcPr>
            <w:tcW w:w="1501"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p>
        </w:tc>
        <w:tc>
          <w:tcPr>
            <w:tcW w:w="3314"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项目经理</w:t>
            </w:r>
          </w:p>
        </w:tc>
        <w:tc>
          <w:tcPr>
            <w:tcW w:w="2859" w:type="dxa"/>
            <w:noWrap w:val="0"/>
            <w:vAlign w:val="center"/>
          </w:tcPr>
          <w:p>
            <w:pPr>
              <w:pageBreakBefore w:val="0"/>
              <w:kinsoku/>
              <w:bidi w:val="0"/>
              <w:spacing w:line="360" w:lineRule="auto"/>
              <w:ind w:left="0" w:leftChars="0" w:right="0" w:rightChars="0"/>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姓名：</w:t>
            </w:r>
            <w:r>
              <w:rPr>
                <w:rFonts w:hint="eastAsia" w:ascii="楷体" w:hAnsi="楷体" w:eastAsia="楷体" w:cs="楷体"/>
                <w:color w:val="auto"/>
                <w:sz w:val="24"/>
                <w:highlight w:val="none"/>
              </w:rPr>
              <w:br w:type="textWrapping"/>
            </w:r>
            <w:r>
              <w:rPr>
                <w:rFonts w:hint="eastAsia" w:ascii="楷体" w:hAnsi="楷体" w:eastAsia="楷体" w:cs="楷体"/>
                <w:color w:val="auto"/>
                <w:sz w:val="24"/>
                <w:highlight w:val="none"/>
                <w:lang w:eastAsia="zh-CN"/>
              </w:rPr>
              <w:t>身份证号：</w:t>
            </w:r>
            <w:r>
              <w:rPr>
                <w:rFonts w:hint="eastAsia" w:ascii="楷体" w:hAnsi="楷体" w:eastAsia="楷体" w:cs="楷体"/>
                <w:color w:val="auto"/>
                <w:sz w:val="24"/>
                <w:highlight w:val="none"/>
              </w:rPr>
              <w:t xml:space="preserve">                  </w:t>
            </w:r>
          </w:p>
        </w:tc>
        <w:tc>
          <w:tcPr>
            <w:tcW w:w="1501"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p>
        </w:tc>
        <w:tc>
          <w:tcPr>
            <w:tcW w:w="3314" w:type="dxa"/>
            <w:noWrap w:val="0"/>
            <w:vAlign w:val="center"/>
          </w:tcPr>
          <w:p>
            <w:pPr>
              <w:pageBreakBefore w:val="0"/>
              <w:kinsoku/>
              <w:bidi w:val="0"/>
              <w:spacing w:line="360" w:lineRule="auto"/>
              <w:ind w:left="0" w:leftChars="0" w:right="0" w:rightChars="0"/>
              <w:jc w:val="center"/>
              <w:outlineLvl w:val="9"/>
              <w:rPr>
                <w:rFonts w:hint="default"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完成时限</w:t>
            </w:r>
          </w:p>
        </w:tc>
        <w:tc>
          <w:tcPr>
            <w:tcW w:w="2859"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p>
        </w:tc>
        <w:tc>
          <w:tcPr>
            <w:tcW w:w="1501"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p>
        </w:tc>
        <w:tc>
          <w:tcPr>
            <w:tcW w:w="3314" w:type="dxa"/>
            <w:noWrap w:val="0"/>
            <w:vAlign w:val="center"/>
          </w:tcPr>
          <w:p>
            <w:pPr>
              <w:pageBreakBefore w:val="0"/>
              <w:kinsoku/>
              <w:bidi w:val="0"/>
              <w:spacing w:line="360" w:lineRule="auto"/>
              <w:ind w:left="0" w:leftChars="0" w:right="0" w:rightChars="0"/>
              <w:jc w:val="center"/>
              <w:outlineLvl w:val="9"/>
              <w:rPr>
                <w:rFonts w:hint="default"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质量要求</w:t>
            </w:r>
          </w:p>
        </w:tc>
        <w:tc>
          <w:tcPr>
            <w:tcW w:w="2859" w:type="dxa"/>
            <w:noWrap w:val="0"/>
            <w:vAlign w:val="center"/>
          </w:tcPr>
          <w:p>
            <w:pPr>
              <w:pageBreakBefore w:val="0"/>
              <w:kinsoku/>
              <w:bidi w:val="0"/>
              <w:spacing w:line="360" w:lineRule="auto"/>
              <w:ind w:left="0" w:leftChars="0" w:right="0" w:rightChars="0"/>
              <w:jc w:val="both"/>
              <w:outlineLvl w:val="9"/>
              <w:rPr>
                <w:rFonts w:hint="eastAsia" w:ascii="楷体" w:hAnsi="楷体" w:eastAsia="楷体" w:cs="楷体"/>
                <w:color w:val="auto"/>
                <w:sz w:val="24"/>
                <w:highlight w:val="none"/>
              </w:rPr>
            </w:pPr>
          </w:p>
        </w:tc>
        <w:tc>
          <w:tcPr>
            <w:tcW w:w="1501"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4</w:t>
            </w:r>
          </w:p>
        </w:tc>
        <w:tc>
          <w:tcPr>
            <w:tcW w:w="3314"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val="en-US" w:eastAsia="zh-CN"/>
              </w:rPr>
              <w:t>质保期</w:t>
            </w:r>
          </w:p>
        </w:tc>
        <w:tc>
          <w:tcPr>
            <w:tcW w:w="2859" w:type="dxa"/>
            <w:noWrap w:val="0"/>
            <w:vAlign w:val="center"/>
          </w:tcPr>
          <w:p>
            <w:pPr>
              <w:pageBreakBefore w:val="0"/>
              <w:kinsoku/>
              <w:bidi w:val="0"/>
              <w:spacing w:line="360" w:lineRule="auto"/>
              <w:ind w:left="0" w:leftChars="0" w:right="0" w:rightChars="0"/>
              <w:jc w:val="both"/>
              <w:outlineLvl w:val="9"/>
              <w:rPr>
                <w:rFonts w:hint="eastAsia" w:ascii="楷体" w:hAnsi="楷体" w:eastAsia="楷体" w:cs="楷体"/>
                <w:color w:val="auto"/>
                <w:sz w:val="24"/>
                <w:highlight w:val="none"/>
              </w:rPr>
            </w:pPr>
          </w:p>
        </w:tc>
        <w:tc>
          <w:tcPr>
            <w:tcW w:w="1501"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p>
        </w:tc>
        <w:tc>
          <w:tcPr>
            <w:tcW w:w="3314"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p>
        </w:tc>
        <w:tc>
          <w:tcPr>
            <w:tcW w:w="2859"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p>
        </w:tc>
        <w:tc>
          <w:tcPr>
            <w:tcW w:w="1501" w:type="dxa"/>
            <w:noWrap w:val="0"/>
            <w:vAlign w:val="center"/>
          </w:tcPr>
          <w:p>
            <w:pPr>
              <w:pageBreakBefore w:val="0"/>
              <w:kinsoku/>
              <w:bidi w:val="0"/>
              <w:spacing w:line="360" w:lineRule="auto"/>
              <w:ind w:left="0" w:leftChars="0" w:right="0" w:rightChars="0"/>
              <w:jc w:val="center"/>
              <w:outlineLvl w:val="9"/>
              <w:rPr>
                <w:rFonts w:hint="eastAsia" w:ascii="楷体" w:hAnsi="楷体" w:eastAsia="楷体" w:cs="楷体"/>
                <w:color w:val="auto"/>
                <w:sz w:val="24"/>
                <w:highlight w:val="none"/>
              </w:rPr>
            </w:pPr>
          </w:p>
        </w:tc>
      </w:tr>
    </w:tbl>
    <w:p>
      <w:pPr>
        <w:pageBreakBefore w:val="0"/>
        <w:kinsoku/>
        <w:bidi w:val="0"/>
        <w:spacing w:line="360" w:lineRule="auto"/>
        <w:ind w:left="0" w:leftChars="0" w:right="0" w:rightChars="0" w:firstLine="482" w:firstLineChars="200"/>
        <w:outlineLvl w:val="9"/>
        <w:rPr>
          <w:rFonts w:hint="eastAsia" w:ascii="楷体" w:hAnsi="楷体" w:eastAsia="楷体" w:cs="楷体"/>
          <w:b/>
          <w:color w:val="auto"/>
          <w:sz w:val="24"/>
          <w:highlight w:val="none"/>
        </w:rPr>
      </w:pPr>
    </w:p>
    <w:p>
      <w:pPr>
        <w:pageBreakBefore w:val="0"/>
        <w:kinsoku/>
        <w:bidi w:val="0"/>
        <w:spacing w:line="360" w:lineRule="auto"/>
        <w:ind w:left="0" w:leftChars="0" w:right="0" w:rightChars="0" w:firstLine="480" w:firstLineChars="20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lang w:val="en-US" w:eastAsia="zh-CN"/>
        </w:rPr>
        <w:t>供应商</w:t>
      </w:r>
      <w:r>
        <w:rPr>
          <w:rFonts w:hint="eastAsia" w:ascii="楷体" w:hAnsi="楷体" w:eastAsia="楷体" w:cs="楷体"/>
          <w:b w:val="0"/>
          <w:bCs/>
          <w:color w:val="auto"/>
          <w:sz w:val="24"/>
          <w:highlight w:val="none"/>
        </w:rPr>
        <w:t>（盖章）：</w:t>
      </w:r>
    </w:p>
    <w:p>
      <w:pPr>
        <w:pageBreakBefore w:val="0"/>
        <w:kinsoku/>
        <w:bidi w:val="0"/>
        <w:spacing w:line="360" w:lineRule="auto"/>
        <w:ind w:left="0" w:leftChars="0" w:right="0" w:rightChars="0" w:firstLine="480" w:firstLineChars="20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法定代表人或委托代理人（签字或盖章）：</w:t>
      </w:r>
    </w:p>
    <w:p>
      <w:pPr>
        <w:pageBreakBefore w:val="0"/>
        <w:kinsoku/>
        <w:bidi w:val="0"/>
        <w:spacing w:line="360" w:lineRule="auto"/>
        <w:ind w:left="0" w:leftChars="0" w:right="0" w:rightChars="0" w:firstLine="480" w:firstLineChars="20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pStyle w:val="14"/>
        <w:rPr>
          <w:rFonts w:hint="default"/>
          <w:color w:val="auto"/>
          <w:highlight w:val="none"/>
          <w:lang w:val="en-US" w:eastAsia="zh-CN"/>
        </w:rPr>
        <w:sectPr>
          <w:pgSz w:w="11906" w:h="16838"/>
          <w:pgMar w:top="1440" w:right="1800" w:bottom="1440" w:left="1800" w:header="851" w:footer="992" w:gutter="0"/>
          <w:cols w:space="425" w:num="1"/>
          <w:docGrid w:type="lines" w:linePitch="312" w:charSpace="0"/>
        </w:sectPr>
      </w:pPr>
    </w:p>
    <w:p>
      <w:pPr>
        <w:pStyle w:val="4"/>
        <w:pageBreakBefore w:val="0"/>
        <w:wordWrap/>
        <w:topLinePunct w:val="0"/>
        <w:bidi w:val="0"/>
        <w:snapToGrid w:val="0"/>
        <w:spacing w:line="560" w:lineRule="exact"/>
        <w:ind w:left="0" w:right="0"/>
        <w:jc w:val="center"/>
        <w:textAlignment w:val="auto"/>
        <w:outlineLvl w:val="0"/>
        <w:rPr>
          <w:rFonts w:hint="eastAsia" w:ascii="楷体" w:hAnsi="楷体" w:eastAsia="楷体" w:cs="楷体"/>
          <w:color w:val="auto"/>
          <w:highlight w:val="none"/>
        </w:rPr>
      </w:pPr>
      <w:bookmarkStart w:id="180" w:name="_Toc27772"/>
      <w:bookmarkStart w:id="181" w:name="_Toc18143"/>
      <w:bookmarkStart w:id="182" w:name="_Toc53945733"/>
      <w:r>
        <w:rPr>
          <w:rFonts w:hint="eastAsia" w:ascii="楷体" w:hAnsi="楷体" w:eastAsia="楷体" w:cs="楷体"/>
          <w:color w:val="auto"/>
          <w:highlight w:val="none"/>
        </w:rPr>
        <w:t>二、法定代表人身份证明</w:t>
      </w:r>
    </w:p>
    <w:p>
      <w:pPr>
        <w:pageBreakBefore w:val="0"/>
        <w:kinsoku/>
        <w:wordWrap/>
        <w:overflowPunct/>
        <w:topLinePunct w:val="0"/>
        <w:bidi w:val="0"/>
        <w:snapToGrid w:val="0"/>
        <w:spacing w:line="560" w:lineRule="exact"/>
        <w:ind w:firstLine="480" w:firstLineChars="200"/>
        <w:outlineLvl w:val="1"/>
        <w:rPr>
          <w:rFonts w:hint="eastAsia" w:ascii="楷体" w:hAnsi="楷体" w:eastAsia="楷体" w:cs="楷体"/>
          <w:color w:val="auto"/>
          <w:sz w:val="24"/>
          <w:highlight w:val="none"/>
        </w:rPr>
      </w:pPr>
    </w:p>
    <w:p>
      <w:pPr>
        <w:pStyle w:val="14"/>
        <w:keepNext w:val="0"/>
        <w:keepLines w:val="0"/>
        <w:pageBreakBefore w:val="0"/>
        <w:widowControl w:val="0"/>
        <w:tabs>
          <w:tab w:val="left" w:pos="3928"/>
        </w:tabs>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名称：</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rPr>
        <w:tab/>
      </w:r>
    </w:p>
    <w:p>
      <w:pPr>
        <w:pStyle w:val="14"/>
        <w:keepNext w:val="0"/>
        <w:keepLines w:val="0"/>
        <w:pageBreakBefore w:val="0"/>
        <w:widowControl w:val="0"/>
        <w:tabs>
          <w:tab w:val="left" w:pos="2412"/>
          <w:tab w:val="left" w:pos="3883"/>
          <w:tab w:val="left" w:pos="5352"/>
          <w:tab w:val="left" w:pos="6869"/>
        </w:tabs>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姓名：</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rPr>
        <w:tab/>
      </w:r>
      <w:r>
        <w:rPr>
          <w:rFonts w:hint="eastAsia" w:ascii="楷体" w:hAnsi="楷体" w:eastAsia="楷体" w:cs="楷体"/>
          <w:color w:val="auto"/>
          <w:highlight w:val="none"/>
        </w:rPr>
        <w:t>性别：</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rPr>
        <w:tab/>
      </w:r>
      <w:r>
        <w:rPr>
          <w:rFonts w:hint="eastAsia" w:ascii="楷体" w:hAnsi="楷体" w:eastAsia="楷体" w:cs="楷体"/>
          <w:color w:val="auto"/>
          <w:highlight w:val="none"/>
        </w:rPr>
        <w:t>年龄：</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rPr>
        <w:tab/>
      </w:r>
      <w:r>
        <w:rPr>
          <w:rFonts w:hint="eastAsia" w:ascii="楷体" w:hAnsi="楷体" w:eastAsia="楷体" w:cs="楷体"/>
          <w:color w:val="auto"/>
          <w:highlight w:val="none"/>
        </w:rPr>
        <w:t>职务：</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rPr>
        <w:tab/>
      </w:r>
    </w:p>
    <w:p>
      <w:pPr>
        <w:pStyle w:val="14"/>
        <w:keepNext w:val="0"/>
        <w:keepLines w:val="0"/>
        <w:pageBreakBefore w:val="0"/>
        <w:widowControl w:val="0"/>
        <w:tabs>
          <w:tab w:val="left" w:pos="2832"/>
        </w:tabs>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系</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u w:val="single"/>
        </w:rPr>
        <w:tab/>
      </w:r>
      <w:r>
        <w:rPr>
          <w:rFonts w:hint="eastAsia" w:ascii="楷体" w:hAnsi="楷体" w:eastAsia="楷体" w:cs="楷体"/>
          <w:color w:val="auto"/>
          <w:highlight w:val="none"/>
        </w:rPr>
        <w:t>（</w:t>
      </w: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名称）的法定代表人。</w:t>
      </w:r>
    </w:p>
    <w:p>
      <w:pPr>
        <w:pStyle w:val="14"/>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特此证明。</w:t>
      </w:r>
    </w:p>
    <w:p>
      <w:pPr>
        <w:pStyle w:val="14"/>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sz w:val="26"/>
          <w:highlight w:val="none"/>
        </w:rPr>
      </w:pPr>
    </w:p>
    <w:p>
      <w:pPr>
        <w:pStyle w:val="14"/>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附：法定代表人身份证复印件。</w:t>
      </w:r>
    </w:p>
    <w:p>
      <w:pPr>
        <w:pStyle w:val="14"/>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sz w:val="20"/>
          <w:highlight w:val="none"/>
        </w:rPr>
      </w:pPr>
    </w:p>
    <w:p>
      <w:pPr>
        <w:pStyle w:val="14"/>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注：本身份证明需由</w:t>
      </w: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加盖单位公章。</w:t>
      </w:r>
    </w:p>
    <w:p>
      <w:pPr>
        <w:pStyle w:val="14"/>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sz w:val="20"/>
          <w:highlight w:val="none"/>
        </w:rPr>
      </w:pPr>
    </w:p>
    <w:p>
      <w:pPr>
        <w:pStyle w:val="14"/>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sz w:val="17"/>
          <w:highlight w:val="none"/>
        </w:rPr>
      </w:pPr>
    </w:p>
    <w:p>
      <w:pPr>
        <w:pStyle w:val="14"/>
        <w:keepNext w:val="0"/>
        <w:keepLines w:val="0"/>
        <w:pageBreakBefore w:val="0"/>
        <w:widowControl w:val="0"/>
        <w:tabs>
          <w:tab w:val="left" w:pos="6521"/>
        </w:tabs>
        <w:kinsoku/>
        <w:wordWrap/>
        <w:overflowPunct/>
        <w:topLinePunct w:val="0"/>
        <w:autoSpaceDE/>
        <w:autoSpaceDN/>
        <w:bidi w:val="0"/>
        <w:adjustRightInd/>
        <w:snapToGrid w:val="0"/>
        <w:spacing w:line="560" w:lineRule="exact"/>
        <w:textAlignment w:val="auto"/>
        <w:outlineLvl w:val="9"/>
        <w:rPr>
          <w:rFonts w:hint="eastAsia" w:ascii="楷体" w:hAnsi="楷体" w:eastAsia="楷体" w:cs="楷体"/>
          <w:color w:val="auto"/>
          <w:sz w:val="23"/>
          <w:highlight w:val="none"/>
        </w:rPr>
      </w:pP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w:t>
      </w:r>
      <w:r>
        <w:rPr>
          <w:rFonts w:hint="eastAsia" w:ascii="楷体" w:hAnsi="楷体" w:eastAsia="楷体" w:cs="楷体"/>
          <w:color w:val="auto"/>
          <w:highlight w:val="none"/>
          <w:u w:val="single"/>
          <w:lang w:eastAsia="zh-CN"/>
        </w:rPr>
        <w:t xml:space="preserve">                             </w:t>
      </w:r>
      <w:r>
        <w:rPr>
          <w:rFonts w:hint="eastAsia" w:ascii="楷体" w:hAnsi="楷体" w:eastAsia="楷体" w:cs="楷体"/>
          <w:color w:val="auto"/>
          <w:highlight w:val="none"/>
        </w:rPr>
        <w:t>（盖单位章）</w:t>
      </w:r>
    </w:p>
    <w:p>
      <w:pPr>
        <w:pageBreakBefore w:val="0"/>
        <w:kinsoku/>
        <w:bidi w:val="0"/>
        <w:spacing w:line="360" w:lineRule="auto"/>
        <w:ind w:right="0" w:rightChars="0"/>
        <w:outlineLvl w:val="9"/>
        <w:rPr>
          <w:rFonts w:hint="eastAsia" w:ascii="楷体" w:hAnsi="楷体" w:eastAsia="楷体" w:cs="楷体"/>
          <w:b w:val="0"/>
          <w:bCs/>
          <w:color w:val="auto"/>
          <w:sz w:val="24"/>
          <w:highlight w:val="none"/>
        </w:rPr>
      </w:pPr>
    </w:p>
    <w:p>
      <w:pPr>
        <w:pageBreakBefore w:val="0"/>
        <w:kinsoku/>
        <w:bidi w:val="0"/>
        <w:spacing w:line="360" w:lineRule="auto"/>
        <w:ind w:right="0" w:rightChars="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br w:type="page"/>
      </w:r>
    </w:p>
    <w:p>
      <w:pPr>
        <w:pStyle w:val="4"/>
        <w:pageBreakBefore w:val="0"/>
        <w:kinsoku/>
        <w:wordWrap/>
        <w:overflowPunct/>
        <w:topLinePunct w:val="0"/>
        <w:bidi w:val="0"/>
        <w:snapToGrid w:val="0"/>
        <w:spacing w:before="156" w:after="156" w:line="560" w:lineRule="exact"/>
        <w:jc w:val="center"/>
        <w:outlineLvl w:val="0"/>
        <w:rPr>
          <w:rFonts w:hint="eastAsia" w:ascii="楷体" w:hAnsi="楷体" w:eastAsia="楷体" w:cs="楷体"/>
          <w:color w:val="auto"/>
          <w:highlight w:val="none"/>
        </w:rPr>
      </w:pPr>
      <w:r>
        <w:rPr>
          <w:rFonts w:hint="eastAsia" w:ascii="楷体" w:hAnsi="楷体" w:eastAsia="楷体" w:cs="楷体"/>
          <w:color w:val="auto"/>
          <w:highlight w:val="none"/>
          <w:lang w:eastAsia="zh-CN"/>
        </w:rPr>
        <w:t>法定代表人</w:t>
      </w:r>
      <w:r>
        <w:rPr>
          <w:rFonts w:hint="eastAsia" w:ascii="楷体" w:hAnsi="楷体" w:eastAsia="楷体" w:cs="楷体"/>
          <w:color w:val="auto"/>
          <w:highlight w:val="none"/>
        </w:rPr>
        <w:t>授权委托书</w:t>
      </w:r>
      <w:bookmarkEnd w:id="180"/>
      <w:bookmarkEnd w:id="181"/>
      <w:bookmarkEnd w:id="182"/>
    </w:p>
    <w:p>
      <w:pPr>
        <w:pageBreakBefore w:val="0"/>
        <w:kinsoku/>
        <w:wordWrap/>
        <w:overflowPunct/>
        <w:topLinePunct w:val="0"/>
        <w:bidi w:val="0"/>
        <w:snapToGrid w:val="0"/>
        <w:spacing w:line="560" w:lineRule="exact"/>
        <w:jc w:val="center"/>
        <w:outlineLvl w:val="1"/>
        <w:rPr>
          <w:rFonts w:hint="eastAsia" w:ascii="楷体" w:hAnsi="楷体" w:eastAsia="楷体" w:cs="楷体"/>
          <w:color w:val="auto"/>
          <w:sz w:val="24"/>
          <w:highlight w:val="none"/>
        </w:rPr>
      </w:pPr>
      <w:bookmarkStart w:id="183" w:name="_Toc355"/>
      <w:bookmarkStart w:id="184" w:name="_Toc7121"/>
      <w:r>
        <w:rPr>
          <w:rFonts w:hint="eastAsia" w:ascii="楷体" w:hAnsi="楷体" w:eastAsia="楷体" w:cs="楷体"/>
          <w:color w:val="auto"/>
          <w:sz w:val="24"/>
          <w:highlight w:val="none"/>
        </w:rPr>
        <w:t>(适用于有委托代理人的情况）</w:t>
      </w:r>
      <w:bookmarkEnd w:id="183"/>
      <w:bookmarkEnd w:id="184"/>
    </w:p>
    <w:p>
      <w:pPr>
        <w:pageBreakBefore w:val="0"/>
        <w:kinsoku/>
        <w:wordWrap/>
        <w:overflowPunct/>
        <w:topLinePunct w:val="0"/>
        <w:bidi w:val="0"/>
        <w:snapToGrid w:val="0"/>
        <w:spacing w:line="560" w:lineRule="exact"/>
        <w:jc w:val="center"/>
        <w:rPr>
          <w:rFonts w:hint="eastAsia" w:ascii="楷体" w:hAnsi="楷体" w:eastAsia="楷体" w:cs="楷体"/>
          <w:color w:val="auto"/>
          <w:sz w:val="24"/>
          <w:highlight w:val="none"/>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firstLineChars="175"/>
        <w:jc w:val="both"/>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本人</w:t>
      </w:r>
      <w:r>
        <w:rPr>
          <w:rFonts w:hint="eastAsia" w:ascii="楷体" w:hAnsi="楷体" w:eastAsia="楷体" w:cs="楷体"/>
          <w:color w:val="auto"/>
          <w:sz w:val="24"/>
          <w:highlight w:val="none"/>
          <w:u w:val="single"/>
        </w:rPr>
        <w:tab/>
      </w:r>
      <w:r>
        <w:rPr>
          <w:rFonts w:hint="eastAsia" w:ascii="楷体" w:hAnsi="楷体" w:eastAsia="楷体" w:cs="楷体"/>
          <w:color w:val="auto"/>
          <w:sz w:val="24"/>
          <w:highlight w:val="none"/>
          <w:u w:val="single"/>
        </w:rPr>
        <w:t xml:space="preserve">          （姓名）</w:t>
      </w:r>
      <w:r>
        <w:rPr>
          <w:rFonts w:hint="eastAsia" w:ascii="楷体" w:hAnsi="楷体" w:eastAsia="楷体" w:cs="楷体"/>
          <w:color w:val="auto"/>
          <w:sz w:val="24"/>
          <w:highlight w:val="none"/>
        </w:rPr>
        <w:t>系</w:t>
      </w:r>
      <w:r>
        <w:rPr>
          <w:rFonts w:hint="eastAsia" w:ascii="楷体" w:hAnsi="楷体" w:eastAsia="楷体" w:cs="楷体"/>
          <w:color w:val="auto"/>
          <w:sz w:val="24"/>
          <w:highlight w:val="none"/>
          <w:u w:val="single"/>
        </w:rPr>
        <w:t xml:space="preserve">                (供应商名称)</w:t>
      </w:r>
      <w:r>
        <w:rPr>
          <w:rFonts w:hint="eastAsia" w:ascii="楷体" w:hAnsi="楷体" w:eastAsia="楷体" w:cs="楷体"/>
          <w:color w:val="auto"/>
          <w:sz w:val="24"/>
          <w:highlight w:val="none"/>
        </w:rPr>
        <w:t>的法定代表人(单位负责人），现委托</w:t>
      </w:r>
      <w:r>
        <w:rPr>
          <w:rFonts w:hint="eastAsia" w:ascii="楷体" w:hAnsi="楷体" w:eastAsia="楷体" w:cs="楷体"/>
          <w:color w:val="auto"/>
          <w:sz w:val="24"/>
          <w:highlight w:val="none"/>
          <w:u w:val="single"/>
        </w:rPr>
        <w:tab/>
      </w:r>
      <w:r>
        <w:rPr>
          <w:rFonts w:hint="eastAsia" w:ascii="楷体" w:hAnsi="楷体" w:eastAsia="楷体" w:cs="楷体"/>
          <w:color w:val="auto"/>
          <w:sz w:val="24"/>
          <w:highlight w:val="none"/>
          <w:u w:val="single"/>
        </w:rPr>
        <w:t xml:space="preserve">      (姓名）</w:t>
      </w:r>
      <w:r>
        <w:rPr>
          <w:rFonts w:hint="eastAsia" w:ascii="楷体" w:hAnsi="楷体" w:eastAsia="楷体" w:cs="楷体"/>
          <w:color w:val="auto"/>
          <w:sz w:val="24"/>
          <w:highlight w:val="none"/>
        </w:rPr>
        <w:t>为我方代理人。代理人根据授权，以我方名义签署、澄清确认、递交、撤回、修改</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询比采购项目响应文件、签</w:t>
      </w:r>
      <w:r>
        <w:rPr>
          <w:rFonts w:hint="eastAsia" w:ascii="楷体" w:hAnsi="楷体" w:eastAsia="楷体" w:cs="楷体"/>
          <w:color w:val="auto"/>
          <w:sz w:val="24"/>
          <w:highlight w:val="none"/>
          <w:lang w:val="en-US" w:eastAsia="zh-CN"/>
        </w:rPr>
        <w:t>订</w:t>
      </w:r>
      <w:r>
        <w:rPr>
          <w:rFonts w:hint="eastAsia" w:ascii="楷体" w:hAnsi="楷体" w:eastAsia="楷体" w:cs="楷体"/>
          <w:color w:val="auto"/>
          <w:sz w:val="24"/>
          <w:highlight w:val="none"/>
        </w:rPr>
        <w:t>合同和处理有关事宜，其法律后果由我方承担。</w:t>
      </w:r>
    </w:p>
    <w:p>
      <w:pPr>
        <w:pageBreakBefore w:val="0"/>
        <w:kinsoku/>
        <w:wordWrap/>
        <w:overflowPunct/>
        <w:topLinePunct w:val="0"/>
        <w:bidi w:val="0"/>
        <w:snapToGrid w:val="0"/>
        <w:spacing w:line="560" w:lineRule="exact"/>
        <w:ind w:firstLine="480" w:firstLineChars="200"/>
        <w:rPr>
          <w:rFonts w:hint="eastAsia"/>
          <w:color w:val="auto"/>
          <w:highlight w:val="none"/>
          <w:lang w:eastAsia="zh-CN"/>
        </w:rPr>
      </w:pPr>
      <w:r>
        <w:rPr>
          <w:rFonts w:hint="eastAsia" w:ascii="楷体" w:hAnsi="楷体" w:eastAsia="楷体" w:cs="楷体"/>
          <w:color w:val="auto"/>
          <w:sz w:val="24"/>
          <w:highlight w:val="none"/>
        </w:rPr>
        <w:t>委托期限：</w:t>
      </w:r>
      <w:r>
        <w:rPr>
          <w:rFonts w:hint="eastAsia" w:ascii="楷体" w:hAnsi="楷体" w:eastAsia="楷体" w:cs="楷体"/>
          <w:i/>
          <w:iCs/>
          <w:color w:val="auto"/>
          <w:sz w:val="24"/>
          <w:highlight w:val="none"/>
          <w:u w:val="single"/>
          <w:lang w:val="en-US" w:eastAsia="zh-CN"/>
        </w:rPr>
        <w:t xml:space="preserve">      </w:t>
      </w:r>
      <w:r>
        <w:rPr>
          <w:rFonts w:hint="eastAsia" w:ascii="楷体" w:hAnsi="楷体" w:eastAsia="楷体" w:cs="楷体"/>
          <w:color w:val="auto"/>
          <w:sz w:val="24"/>
          <w:highlight w:val="none"/>
          <w:lang w:val="en-US" w:eastAsia="zh-CN"/>
        </w:rPr>
        <w:t>。</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代理人无转委托权。</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960" w:firstLineChars="400"/>
        <w:rPr>
          <w:rFonts w:hint="eastAsia" w:ascii="楷体" w:hAnsi="楷体" w:eastAsia="楷体" w:cs="楷体"/>
          <w:color w:val="auto"/>
          <w:sz w:val="24"/>
          <w:highlight w:val="none"/>
        </w:rPr>
      </w:pPr>
      <w:r>
        <w:rPr>
          <w:rFonts w:hint="eastAsia" w:ascii="楷体" w:hAnsi="楷体" w:eastAsia="楷体" w:cs="楷体"/>
          <w:color w:val="auto"/>
          <w:sz w:val="24"/>
          <w:highlight w:val="none"/>
        </w:rPr>
        <w:t>附：委托代理人身份证</w:t>
      </w:r>
      <w:r>
        <w:rPr>
          <w:rFonts w:hint="eastAsia" w:ascii="楷体" w:hAnsi="楷体" w:eastAsia="楷体" w:cs="楷体"/>
          <w:color w:val="auto"/>
          <w:sz w:val="24"/>
          <w:highlight w:val="none"/>
          <w:lang w:val="en-US" w:eastAsia="zh-CN"/>
        </w:rPr>
        <w:t>复印件</w:t>
      </w:r>
      <w:r>
        <w:rPr>
          <w:rFonts w:hint="eastAsia" w:ascii="楷体" w:hAnsi="楷体" w:eastAsia="楷体" w:cs="楷体"/>
          <w:color w:val="auto"/>
          <w:sz w:val="24"/>
          <w:highlight w:val="none"/>
        </w:rPr>
        <w:t>。</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ageBreakBefore w:val="0"/>
        <w:kinsoku/>
        <w:wordWrap/>
        <w:overflowPunct/>
        <w:topLinePunct w:val="0"/>
        <w:bidi w:val="0"/>
        <w:snapToGrid w:val="0"/>
        <w:spacing w:line="560" w:lineRule="exact"/>
        <w:ind w:firstLine="3600" w:firstLineChars="1500"/>
        <w:rPr>
          <w:rFonts w:hint="eastAsia" w:ascii="楷体" w:hAnsi="楷体" w:eastAsia="楷体" w:cs="楷体"/>
          <w:color w:val="auto"/>
          <w:sz w:val="24"/>
          <w:highlight w:val="none"/>
        </w:rPr>
      </w:pPr>
      <w:r>
        <w:rPr>
          <w:rFonts w:hint="eastAsia" w:ascii="楷体" w:hAnsi="楷体" w:eastAsia="楷体" w:cs="楷体"/>
          <w:color w:val="auto"/>
          <w:sz w:val="24"/>
          <w:highlight w:val="none"/>
        </w:rPr>
        <w:t>供应商：</w:t>
      </w:r>
      <w:r>
        <w:rPr>
          <w:rFonts w:hint="eastAsia" w:ascii="楷体" w:hAnsi="楷体" w:eastAsia="楷体" w:cs="楷体"/>
          <w:color w:val="auto"/>
          <w:sz w:val="24"/>
          <w:highlight w:val="none"/>
          <w:u w:val="single"/>
        </w:rPr>
        <w:t xml:space="preserve">                     (盖单位章）</w:t>
      </w:r>
    </w:p>
    <w:p>
      <w:pPr>
        <w:pageBreakBefore w:val="0"/>
        <w:kinsoku/>
        <w:wordWrap/>
        <w:overflowPunct/>
        <w:topLinePunct w:val="0"/>
        <w:bidi w:val="0"/>
        <w:snapToGrid w:val="0"/>
        <w:spacing w:line="560" w:lineRule="exact"/>
        <w:jc w:val="right"/>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法定代表人(单位负责人）：</w:t>
      </w:r>
      <w:r>
        <w:rPr>
          <w:rFonts w:hint="eastAsia" w:ascii="楷体" w:hAnsi="楷体" w:eastAsia="楷体" w:cs="楷体"/>
          <w:color w:val="auto"/>
          <w:sz w:val="24"/>
          <w:highlight w:val="none"/>
          <w:u w:val="single"/>
        </w:rPr>
        <w:tab/>
      </w:r>
      <w:r>
        <w:rPr>
          <w:rFonts w:hint="eastAsia" w:ascii="楷体" w:hAnsi="楷体" w:eastAsia="楷体" w:cs="楷体"/>
          <w:color w:val="auto"/>
          <w:sz w:val="24"/>
          <w:highlight w:val="none"/>
          <w:u w:val="single"/>
        </w:rPr>
        <w:t xml:space="preserve">       (签字</w:t>
      </w:r>
      <w:r>
        <w:rPr>
          <w:rFonts w:hint="eastAsia" w:ascii="楷体" w:hAnsi="楷体" w:eastAsia="楷体" w:cs="楷体"/>
          <w:color w:val="auto"/>
          <w:sz w:val="24"/>
          <w:highlight w:val="none"/>
          <w:u w:val="single"/>
          <w:lang w:eastAsia="zh-CN"/>
        </w:rPr>
        <w:t>或签章</w:t>
      </w:r>
      <w:r>
        <w:rPr>
          <w:rFonts w:hint="eastAsia" w:ascii="楷体" w:hAnsi="楷体" w:eastAsia="楷体" w:cs="楷体"/>
          <w:color w:val="auto"/>
          <w:sz w:val="24"/>
          <w:highlight w:val="none"/>
          <w:u w:val="single"/>
        </w:rPr>
        <w:t>）</w:t>
      </w:r>
    </w:p>
    <w:p>
      <w:pPr>
        <w:pageBreakBefore w:val="0"/>
        <w:kinsoku/>
        <w:wordWrap/>
        <w:overflowPunct/>
        <w:topLinePunct w:val="0"/>
        <w:bidi w:val="0"/>
        <w:snapToGrid w:val="0"/>
        <w:spacing w:line="560" w:lineRule="exact"/>
        <w:ind w:firstLine="3600" w:firstLineChars="150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身份证号码：</w:t>
      </w:r>
      <w:r>
        <w:rPr>
          <w:rFonts w:hint="eastAsia" w:ascii="楷体" w:hAnsi="楷体" w:eastAsia="楷体" w:cs="楷体"/>
          <w:color w:val="auto"/>
          <w:sz w:val="24"/>
          <w:highlight w:val="none"/>
          <w:u w:val="single"/>
        </w:rPr>
        <w:t xml:space="preserve">                           </w:t>
      </w:r>
    </w:p>
    <w:p>
      <w:pPr>
        <w:pageBreakBefore w:val="0"/>
        <w:kinsoku/>
        <w:wordWrap/>
        <w:overflowPunct/>
        <w:topLinePunct w:val="0"/>
        <w:bidi w:val="0"/>
        <w:snapToGrid w:val="0"/>
        <w:spacing w:line="560" w:lineRule="exact"/>
        <w:jc w:val="right"/>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委托代理人：</w:t>
      </w:r>
      <w:r>
        <w:rPr>
          <w:rFonts w:hint="eastAsia" w:ascii="楷体" w:hAnsi="楷体" w:eastAsia="楷体" w:cs="楷体"/>
          <w:color w:val="auto"/>
          <w:sz w:val="24"/>
          <w:highlight w:val="none"/>
          <w:u w:val="single"/>
        </w:rPr>
        <w:tab/>
      </w:r>
      <w:r>
        <w:rPr>
          <w:rFonts w:hint="eastAsia" w:ascii="楷体" w:hAnsi="楷体" w:eastAsia="楷体" w:cs="楷体"/>
          <w:color w:val="auto"/>
          <w:sz w:val="24"/>
          <w:highlight w:val="none"/>
          <w:u w:val="single"/>
        </w:rPr>
        <w:t xml:space="preserve">                 (签字</w:t>
      </w:r>
      <w:r>
        <w:rPr>
          <w:rFonts w:hint="eastAsia" w:ascii="楷体" w:hAnsi="楷体" w:eastAsia="楷体" w:cs="楷体"/>
          <w:color w:val="auto"/>
          <w:sz w:val="24"/>
          <w:highlight w:val="none"/>
          <w:u w:val="single"/>
          <w:lang w:eastAsia="zh-CN"/>
        </w:rPr>
        <w:t>或签章</w:t>
      </w:r>
      <w:r>
        <w:rPr>
          <w:rFonts w:hint="eastAsia" w:ascii="楷体" w:hAnsi="楷体" w:eastAsia="楷体" w:cs="楷体"/>
          <w:color w:val="auto"/>
          <w:sz w:val="24"/>
          <w:highlight w:val="none"/>
          <w:u w:val="single"/>
        </w:rPr>
        <w:t>）</w:t>
      </w:r>
    </w:p>
    <w:p>
      <w:pPr>
        <w:pageBreakBefore w:val="0"/>
        <w:kinsoku/>
        <w:wordWrap/>
        <w:overflowPunct/>
        <w:topLinePunct w:val="0"/>
        <w:bidi w:val="0"/>
        <w:snapToGrid w:val="0"/>
        <w:spacing w:line="560" w:lineRule="exact"/>
        <w:ind w:firstLine="3600" w:firstLineChars="150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身份证号码：</w:t>
      </w:r>
      <w:r>
        <w:rPr>
          <w:rFonts w:hint="eastAsia" w:ascii="楷体" w:hAnsi="楷体" w:eastAsia="楷体" w:cs="楷体"/>
          <w:color w:val="auto"/>
          <w:sz w:val="24"/>
          <w:highlight w:val="none"/>
          <w:u w:val="single"/>
        </w:rPr>
        <w:t xml:space="preserve">                             </w:t>
      </w:r>
    </w:p>
    <w:p>
      <w:pPr>
        <w:pageBreakBefore w:val="0"/>
        <w:kinsoku/>
        <w:bidi w:val="0"/>
        <w:spacing w:line="360" w:lineRule="auto"/>
        <w:ind w:left="0" w:leftChars="0" w:right="0" w:rightChars="0" w:firstLine="3600" w:firstLineChars="150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pageBreakBefore w:val="0"/>
        <w:kinsoku/>
        <w:wordWrap/>
        <w:overflowPunct/>
        <w:topLinePunct w:val="0"/>
        <w:bidi w:val="0"/>
        <w:snapToGrid w:val="0"/>
        <w:spacing w:line="560" w:lineRule="exact"/>
        <w:ind w:firstLine="3080" w:firstLineChars="1100"/>
        <w:jc w:val="right"/>
        <w:outlineLvl w:val="1"/>
        <w:rPr>
          <w:rFonts w:hint="eastAsia" w:ascii="楷体" w:hAnsi="楷体" w:eastAsia="楷体" w:cs="楷体"/>
          <w:color w:val="auto"/>
          <w:sz w:val="28"/>
          <w:szCs w:val="28"/>
          <w:highlight w:val="none"/>
        </w:rPr>
      </w:pP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sectPr>
          <w:pgSz w:w="11906" w:h="16838"/>
          <w:pgMar w:top="1440" w:right="1800" w:bottom="1440" w:left="1800" w:header="851" w:footer="992" w:gutter="0"/>
          <w:cols w:space="425" w:num="1"/>
          <w:docGrid w:type="lines" w:linePitch="312" w:charSpace="0"/>
        </w:sectPr>
      </w:pPr>
    </w:p>
    <w:p>
      <w:pPr>
        <w:pStyle w:val="4"/>
        <w:pageBreakBefore w:val="0"/>
        <w:tabs>
          <w:tab w:val="left" w:pos="2923"/>
          <w:tab w:val="center" w:pos="4213"/>
        </w:tabs>
        <w:kinsoku/>
        <w:wordWrap/>
        <w:overflowPunct/>
        <w:topLinePunct w:val="0"/>
        <w:bidi w:val="0"/>
        <w:snapToGrid w:val="0"/>
        <w:spacing w:before="156" w:after="156" w:line="560" w:lineRule="exact"/>
        <w:jc w:val="center"/>
        <w:outlineLvl w:val="0"/>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t>三、商务偏离表</w:t>
      </w:r>
    </w:p>
    <w:p>
      <w:pPr>
        <w:pageBreakBefore w:val="0"/>
        <w:kinsoku/>
        <w:wordWrap/>
        <w:overflowPunct/>
        <w:topLinePunct w:val="0"/>
        <w:bidi w:val="0"/>
        <w:snapToGrid w:val="0"/>
        <w:spacing w:line="560" w:lineRule="exact"/>
        <w:rPr>
          <w:rFonts w:hint="eastAsia" w:ascii="楷体" w:hAnsi="楷体" w:eastAsia="楷体" w:cs="楷体"/>
          <w:bCs/>
          <w:color w:val="auto"/>
          <w:sz w:val="24"/>
          <w:szCs w:val="24"/>
          <w:highlight w:val="none"/>
          <w:shd w:val="clear" w:color="auto" w:fill="FFFFFF"/>
        </w:rPr>
      </w:pPr>
      <w:r>
        <w:rPr>
          <w:rFonts w:hint="eastAsia" w:ascii="楷体" w:hAnsi="楷体" w:eastAsia="楷体" w:cs="楷体"/>
          <w:bCs/>
          <w:color w:val="auto"/>
          <w:sz w:val="24"/>
          <w:szCs w:val="24"/>
          <w:highlight w:val="none"/>
          <w:shd w:val="clear" w:color="auto" w:fill="FFFFFF"/>
        </w:rPr>
        <w:t>供应商名称：</w:t>
      </w:r>
      <w:r>
        <w:rPr>
          <w:rFonts w:hint="eastAsia" w:ascii="楷体" w:hAnsi="楷体" w:eastAsia="楷体" w:cs="楷体"/>
          <w:bCs/>
          <w:color w:val="auto"/>
          <w:sz w:val="24"/>
          <w:szCs w:val="24"/>
          <w:highlight w:val="none"/>
          <w:u w:val="single"/>
          <w:shd w:val="clear" w:color="auto" w:fill="FFFFFF"/>
        </w:rPr>
        <w:t>　　　　</w:t>
      </w:r>
      <w:r>
        <w:rPr>
          <w:rFonts w:hint="eastAsia" w:ascii="楷体" w:hAnsi="楷体" w:eastAsia="楷体" w:cs="楷体"/>
          <w:bCs/>
          <w:color w:val="auto"/>
          <w:sz w:val="24"/>
          <w:szCs w:val="24"/>
          <w:highlight w:val="none"/>
          <w:shd w:val="clear" w:color="auto" w:fill="FFFFFF"/>
        </w:rPr>
        <w:t xml:space="preserve">　　                  </w:t>
      </w:r>
      <w:r>
        <w:rPr>
          <w:rFonts w:hint="eastAsia" w:ascii="楷体" w:hAnsi="楷体" w:eastAsia="楷体" w:cs="楷体"/>
          <w:bCs/>
          <w:color w:val="FF0000"/>
          <w:sz w:val="24"/>
          <w:szCs w:val="24"/>
          <w:highlight w:val="none"/>
          <w:shd w:val="clear" w:fill="FFFF00"/>
        </w:rPr>
        <w:t>项目编号：</w:t>
      </w:r>
      <w:r>
        <w:rPr>
          <w:rFonts w:hint="eastAsia" w:ascii="楷体" w:hAnsi="楷体" w:eastAsia="楷体" w:cs="楷体"/>
          <w:bCs/>
          <w:color w:val="FF0000"/>
          <w:sz w:val="24"/>
          <w:szCs w:val="24"/>
          <w:highlight w:val="none"/>
          <w:u w:val="single"/>
          <w:shd w:val="clear" w:fill="FFFF00"/>
        </w:rPr>
        <w:t>　　　　　</w:t>
      </w:r>
      <w:r>
        <w:rPr>
          <w:rFonts w:hint="eastAsia" w:ascii="楷体" w:hAnsi="楷体" w:eastAsia="楷体" w:cs="楷体"/>
          <w:bCs/>
          <w:color w:val="auto"/>
          <w:sz w:val="24"/>
          <w:szCs w:val="24"/>
          <w:highlight w:val="none"/>
        </w:rPr>
        <w:t xml:space="preserve">　     </w:t>
      </w:r>
      <w:r>
        <w:rPr>
          <w:rFonts w:hint="eastAsia" w:ascii="楷体" w:hAnsi="楷体" w:eastAsia="楷体" w:cs="楷体"/>
          <w:bCs/>
          <w:color w:val="auto"/>
          <w:sz w:val="24"/>
          <w:szCs w:val="24"/>
          <w:highlight w:val="none"/>
          <w:shd w:val="clear" w:color="auto" w:fill="FFFFFF"/>
        </w:rPr>
        <w:t xml:space="preserve">　                    </w:t>
      </w:r>
    </w:p>
    <w:tbl>
      <w:tblPr>
        <w:tblStyle w:val="31"/>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835"/>
        <w:gridCol w:w="273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rPr>
              <w:t>序号</w:t>
            </w:r>
          </w:p>
        </w:tc>
        <w:tc>
          <w:tcPr>
            <w:tcW w:w="2835"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lang w:eastAsia="zh-CN"/>
              </w:rPr>
              <w:t>采购</w:t>
            </w:r>
            <w:r>
              <w:rPr>
                <w:rFonts w:hint="eastAsia" w:ascii="楷体" w:hAnsi="楷体" w:eastAsia="楷体" w:cs="楷体"/>
                <w:color w:val="auto"/>
                <w:sz w:val="24"/>
                <w:szCs w:val="24"/>
                <w:highlight w:val="none"/>
                <w:shd w:val="clear" w:color="auto" w:fill="FFFFFF"/>
              </w:rPr>
              <w:t>文件商务条款</w:t>
            </w:r>
          </w:p>
        </w:tc>
        <w:tc>
          <w:tcPr>
            <w:tcW w:w="2730"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lang w:eastAsia="zh-CN"/>
              </w:rPr>
              <w:t>响应</w:t>
            </w:r>
            <w:r>
              <w:rPr>
                <w:rFonts w:hint="eastAsia" w:ascii="楷体" w:hAnsi="楷体" w:eastAsia="楷体" w:cs="楷体"/>
                <w:color w:val="auto"/>
                <w:sz w:val="24"/>
                <w:szCs w:val="24"/>
                <w:highlight w:val="none"/>
                <w:shd w:val="clear" w:color="auto" w:fill="FFFFFF"/>
              </w:rPr>
              <w:t>文件商务条款</w:t>
            </w:r>
          </w:p>
        </w:tc>
        <w:tc>
          <w:tcPr>
            <w:tcW w:w="1890"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rPr>
              <w:t>1</w:t>
            </w:r>
          </w:p>
        </w:tc>
        <w:tc>
          <w:tcPr>
            <w:tcW w:w="2835"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lang w:eastAsia="zh-CN"/>
              </w:rPr>
            </w:pPr>
            <w:r>
              <w:rPr>
                <w:rFonts w:hint="eastAsia" w:ascii="楷体" w:hAnsi="楷体" w:eastAsia="楷体" w:cs="楷体"/>
                <w:color w:val="auto"/>
                <w:sz w:val="24"/>
                <w:szCs w:val="24"/>
                <w:highlight w:val="none"/>
                <w:shd w:val="clear" w:color="auto" w:fill="FFFFFF"/>
                <w:lang w:eastAsia="zh-CN"/>
              </w:rPr>
              <w:t>完成时限</w:t>
            </w:r>
          </w:p>
        </w:tc>
        <w:tc>
          <w:tcPr>
            <w:tcW w:w="273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c>
          <w:tcPr>
            <w:tcW w:w="189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rPr>
              <w:t>2</w:t>
            </w:r>
          </w:p>
        </w:tc>
        <w:tc>
          <w:tcPr>
            <w:tcW w:w="2835" w:type="dxa"/>
            <w:vAlign w:val="center"/>
          </w:tcPr>
          <w:p>
            <w:pPr>
              <w:pageBreakBefore w:val="0"/>
              <w:kinsoku/>
              <w:wordWrap/>
              <w:overflowPunct/>
              <w:topLinePunct w:val="0"/>
              <w:bidi w:val="0"/>
              <w:snapToGrid w:val="0"/>
              <w:spacing w:line="560" w:lineRule="exact"/>
              <w:jc w:val="center"/>
              <w:rPr>
                <w:rFonts w:hint="eastAsia" w:ascii="楷体" w:hAnsi="楷体" w:cs="楷体" w:eastAsiaTheme="minorEastAsia"/>
                <w:color w:val="auto"/>
                <w:sz w:val="24"/>
                <w:szCs w:val="24"/>
                <w:highlight w:val="none"/>
                <w:shd w:val="clear" w:color="auto" w:fill="FFFFFF"/>
                <w:lang w:val="en-US" w:eastAsia="zh-CN"/>
              </w:rPr>
            </w:pPr>
            <w:r>
              <w:rPr>
                <w:rFonts w:hint="eastAsia" w:ascii="楷体" w:hAnsi="楷体" w:eastAsia="楷体" w:cs="楷体"/>
                <w:color w:val="auto"/>
                <w:sz w:val="24"/>
                <w:szCs w:val="24"/>
                <w:highlight w:val="none"/>
                <w:shd w:val="clear" w:color="auto" w:fill="FFFFFF"/>
                <w:lang w:eastAsia="zh-CN"/>
              </w:rPr>
              <w:t>质量</w:t>
            </w:r>
            <w:r>
              <w:rPr>
                <w:rFonts w:hint="eastAsia" w:ascii="楷体" w:hAnsi="楷体" w:eastAsia="楷体" w:cs="楷体"/>
                <w:color w:val="auto"/>
                <w:sz w:val="24"/>
                <w:szCs w:val="24"/>
                <w:highlight w:val="none"/>
                <w:shd w:val="clear" w:color="auto" w:fill="FFFFFF"/>
                <w:lang w:val="en-US" w:eastAsia="zh-CN"/>
              </w:rPr>
              <w:t>要求</w:t>
            </w:r>
          </w:p>
        </w:tc>
        <w:tc>
          <w:tcPr>
            <w:tcW w:w="273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c>
          <w:tcPr>
            <w:tcW w:w="189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rPr>
              <w:t>3</w:t>
            </w:r>
          </w:p>
        </w:tc>
        <w:tc>
          <w:tcPr>
            <w:tcW w:w="2835"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lang w:eastAsia="zh-CN"/>
              </w:rPr>
            </w:pPr>
            <w:r>
              <w:rPr>
                <w:rFonts w:hint="eastAsia" w:ascii="楷体" w:hAnsi="楷体" w:eastAsia="楷体" w:cs="楷体"/>
                <w:color w:val="auto"/>
                <w:sz w:val="24"/>
                <w:szCs w:val="24"/>
                <w:highlight w:val="none"/>
                <w:shd w:val="clear" w:color="auto" w:fill="FFFFFF"/>
                <w:lang w:eastAsia="zh-CN"/>
              </w:rPr>
              <w:t>响应文件</w:t>
            </w:r>
            <w:r>
              <w:rPr>
                <w:rFonts w:hint="eastAsia" w:ascii="楷体" w:hAnsi="楷体" w:eastAsia="楷体" w:cs="楷体"/>
                <w:color w:val="auto"/>
                <w:sz w:val="24"/>
                <w:szCs w:val="24"/>
                <w:highlight w:val="none"/>
                <w:shd w:val="clear" w:color="auto" w:fill="FFFFFF"/>
              </w:rPr>
              <w:t>有效期</w:t>
            </w:r>
          </w:p>
        </w:tc>
        <w:tc>
          <w:tcPr>
            <w:tcW w:w="273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c>
          <w:tcPr>
            <w:tcW w:w="189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r>
              <w:rPr>
                <w:rFonts w:hint="eastAsia" w:ascii="楷体" w:hAnsi="楷体" w:eastAsia="楷体" w:cs="楷体"/>
                <w:color w:val="auto"/>
                <w:sz w:val="24"/>
                <w:szCs w:val="24"/>
                <w:highlight w:val="none"/>
                <w:shd w:val="clear" w:color="auto" w:fill="FFFFFF"/>
              </w:rPr>
              <w:t>4</w:t>
            </w:r>
          </w:p>
        </w:tc>
        <w:tc>
          <w:tcPr>
            <w:tcW w:w="2835"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lang w:eastAsia="zh-CN"/>
              </w:rPr>
            </w:pPr>
            <w:r>
              <w:rPr>
                <w:rFonts w:hint="eastAsia" w:ascii="楷体" w:hAnsi="楷体" w:eastAsia="楷体" w:cs="楷体"/>
                <w:color w:val="auto"/>
                <w:sz w:val="24"/>
                <w:szCs w:val="24"/>
                <w:highlight w:val="none"/>
                <w:shd w:val="clear" w:color="auto" w:fill="FFFFFF"/>
                <w:lang w:eastAsia="zh-CN"/>
              </w:rPr>
              <w:t>付款方式</w:t>
            </w:r>
          </w:p>
        </w:tc>
        <w:tc>
          <w:tcPr>
            <w:tcW w:w="273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c>
          <w:tcPr>
            <w:tcW w:w="189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6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lang w:eastAsia="zh-CN"/>
              </w:rPr>
            </w:pPr>
            <w:r>
              <w:rPr>
                <w:rFonts w:hint="eastAsia" w:ascii="楷体" w:hAnsi="楷体" w:eastAsia="楷体" w:cs="楷体"/>
                <w:color w:val="auto"/>
                <w:sz w:val="24"/>
                <w:szCs w:val="24"/>
                <w:highlight w:val="none"/>
                <w:shd w:val="clear" w:color="auto" w:fill="FFFFFF"/>
                <w:lang w:val="en-US" w:eastAsia="zh-CN"/>
              </w:rPr>
              <w:t>5</w:t>
            </w:r>
          </w:p>
        </w:tc>
        <w:tc>
          <w:tcPr>
            <w:tcW w:w="2835" w:type="dxa"/>
            <w:vAlign w:val="center"/>
          </w:tcPr>
          <w:p>
            <w:pPr>
              <w:pageBreakBefore w:val="0"/>
              <w:kinsoku/>
              <w:wordWrap/>
              <w:overflowPunct/>
              <w:topLinePunct w:val="0"/>
              <w:bidi w:val="0"/>
              <w:snapToGrid w:val="0"/>
              <w:spacing w:line="560" w:lineRule="exact"/>
              <w:jc w:val="center"/>
              <w:rPr>
                <w:rFonts w:hint="default" w:ascii="楷体" w:hAnsi="楷体" w:eastAsia="楷体" w:cs="楷体"/>
                <w:color w:val="auto"/>
                <w:sz w:val="24"/>
                <w:szCs w:val="24"/>
                <w:highlight w:val="none"/>
                <w:shd w:val="clear" w:color="auto" w:fill="FFFFFF"/>
                <w:lang w:val="en-US" w:eastAsia="zh-CN"/>
              </w:rPr>
            </w:pPr>
            <w:r>
              <w:rPr>
                <w:rFonts w:hint="eastAsia" w:ascii="楷体" w:hAnsi="楷体" w:eastAsia="楷体" w:cs="楷体"/>
                <w:color w:val="auto"/>
                <w:sz w:val="24"/>
                <w:szCs w:val="24"/>
                <w:highlight w:val="none"/>
                <w:shd w:val="clear" w:color="auto" w:fill="FFFFFF"/>
                <w:lang w:val="en-US" w:eastAsia="zh-CN"/>
              </w:rPr>
              <w:t>其他商务要求</w:t>
            </w:r>
          </w:p>
        </w:tc>
        <w:tc>
          <w:tcPr>
            <w:tcW w:w="273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c>
          <w:tcPr>
            <w:tcW w:w="189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6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p>
        </w:tc>
        <w:tc>
          <w:tcPr>
            <w:tcW w:w="2835"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shd w:val="clear" w:color="auto" w:fill="FFFFFF"/>
              </w:rPr>
            </w:pPr>
          </w:p>
        </w:tc>
        <w:tc>
          <w:tcPr>
            <w:tcW w:w="273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c>
          <w:tcPr>
            <w:tcW w:w="1890"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shd w:val="clear" w:color="auto" w:fill="FFFFFF"/>
              </w:rPr>
            </w:pPr>
          </w:p>
        </w:tc>
      </w:tr>
    </w:tbl>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p>
      <w:pPr>
        <w:pStyle w:val="20"/>
        <w:pageBreakBefore w:val="0"/>
        <w:tabs>
          <w:tab w:val="left" w:pos="5580"/>
        </w:tabs>
        <w:kinsoku/>
        <w:wordWrap/>
        <w:overflowPunct/>
        <w:topLinePunct w:val="0"/>
        <w:bidi w:val="0"/>
        <w:snapToGrid w:val="0"/>
        <w:spacing w:before="120" w:line="560" w:lineRule="exac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供应商名称（盖公章）：</w:t>
      </w:r>
    </w:p>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r>
        <w:rPr>
          <w:rFonts w:hint="eastAsia" w:ascii="楷体" w:hAnsi="楷体" w:eastAsia="楷体" w:cs="楷体"/>
          <w:color w:val="auto"/>
          <w:kern w:val="2"/>
          <w:sz w:val="24"/>
          <w:szCs w:val="24"/>
          <w:highlight w:val="none"/>
        </w:rPr>
        <w:t>法定代表人或其委托代理人</w:t>
      </w:r>
      <w:r>
        <w:rPr>
          <w:rFonts w:hint="eastAsia" w:ascii="楷体" w:hAnsi="楷体" w:eastAsia="楷体" w:cs="楷体"/>
          <w:color w:val="auto"/>
          <w:sz w:val="24"/>
          <w:szCs w:val="24"/>
          <w:highlight w:val="none"/>
        </w:rPr>
        <w:t>（签章或签字）：</w:t>
      </w:r>
    </w:p>
    <w:p>
      <w:pPr>
        <w:pageBreakBefore w:val="0"/>
        <w:kinsoku/>
        <w:bidi w:val="0"/>
        <w:spacing w:line="360" w:lineRule="auto"/>
        <w:ind w:right="0" w:rightChars="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pageBreakBefore w:val="0"/>
        <w:kinsoku/>
        <w:wordWrap/>
        <w:overflowPunct/>
        <w:topLinePunct w:val="0"/>
        <w:bidi w:val="0"/>
        <w:snapToGrid w:val="0"/>
        <w:spacing w:line="560" w:lineRule="exact"/>
        <w:rPr>
          <w:rFonts w:hint="eastAsia" w:ascii="楷体" w:hAnsi="楷体" w:eastAsia="楷体" w:cs="楷体"/>
          <w:color w:val="auto"/>
          <w:sz w:val="24"/>
          <w:highlight w:val="none"/>
          <w:lang w:val="en-US" w:eastAsia="zh-CN"/>
        </w:rPr>
      </w:pPr>
    </w:p>
    <w:p>
      <w:pPr>
        <w:pageBreakBefore w:val="0"/>
        <w:kinsoku/>
        <w:wordWrap/>
        <w:overflowPunct/>
        <w:topLinePunct w:val="0"/>
        <w:bidi w:val="0"/>
        <w:snapToGrid w:val="0"/>
        <w:spacing w:line="560" w:lineRule="exact"/>
        <w:rPr>
          <w:rFonts w:hint="eastAsia" w:ascii="楷体" w:hAnsi="楷体" w:eastAsia="楷体" w:cs="楷体"/>
          <w:color w:val="auto"/>
          <w:highlight w:val="none"/>
          <w:lang w:val="en-US" w:eastAsia="zh-CN"/>
        </w:rPr>
      </w:pPr>
      <w:bookmarkStart w:id="185" w:name="_Toc53945737"/>
      <w:bookmarkStart w:id="186" w:name="_Toc17183"/>
      <w:bookmarkStart w:id="187" w:name="_Toc28733"/>
      <w:r>
        <w:rPr>
          <w:rFonts w:hint="eastAsia" w:ascii="楷体" w:hAnsi="楷体" w:eastAsia="楷体" w:cs="楷体"/>
          <w:color w:val="auto"/>
          <w:highlight w:val="none"/>
          <w:lang w:val="en-US" w:eastAsia="zh-CN"/>
        </w:rPr>
        <w:br w:type="page"/>
      </w:r>
    </w:p>
    <w:p>
      <w:pPr>
        <w:pStyle w:val="4"/>
        <w:pageBreakBefore w:val="0"/>
        <w:kinsoku/>
        <w:wordWrap/>
        <w:overflowPunct/>
        <w:topLinePunct w:val="0"/>
        <w:bidi w:val="0"/>
        <w:snapToGrid w:val="0"/>
        <w:spacing w:before="156" w:after="156" w:line="560" w:lineRule="exact"/>
        <w:jc w:val="center"/>
        <w:outlineLvl w:val="0"/>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四</w:t>
      </w:r>
      <w:r>
        <w:rPr>
          <w:rFonts w:hint="eastAsia" w:ascii="楷体" w:hAnsi="楷体" w:eastAsia="楷体" w:cs="楷体"/>
          <w:color w:val="auto"/>
          <w:highlight w:val="none"/>
        </w:rPr>
        <w:t>、</w:t>
      </w:r>
      <w:bookmarkEnd w:id="185"/>
      <w:bookmarkStart w:id="188" w:name="_Toc53945739"/>
      <w:r>
        <w:rPr>
          <w:rFonts w:hint="eastAsia" w:ascii="楷体" w:hAnsi="楷体" w:eastAsia="楷体" w:cs="楷体"/>
          <w:color w:val="auto"/>
          <w:highlight w:val="none"/>
        </w:rPr>
        <w:t>技术规格偏离表</w:t>
      </w:r>
    </w:p>
    <w:p>
      <w:pPr>
        <w:pageBreakBefore w:val="0"/>
        <w:kinsoku/>
        <w:wordWrap/>
        <w:overflowPunct/>
        <w:topLinePunct w:val="0"/>
        <w:bidi w:val="0"/>
        <w:snapToGrid w:val="0"/>
        <w:spacing w:line="560" w:lineRule="exact"/>
        <w:jc w:val="center"/>
        <w:rPr>
          <w:rFonts w:hint="eastAsia" w:ascii="楷体" w:hAnsi="楷体" w:eastAsia="楷体" w:cs="楷体"/>
          <w:b/>
          <w:color w:val="auto"/>
          <w:sz w:val="24"/>
          <w:szCs w:val="24"/>
          <w:highlight w:val="none"/>
        </w:rPr>
      </w:pPr>
    </w:p>
    <w:p>
      <w:pPr>
        <w:pageBreakBefore w:val="0"/>
        <w:kinsoku/>
        <w:wordWrap/>
        <w:overflowPunct/>
        <w:topLinePunct w:val="0"/>
        <w:bidi w:val="0"/>
        <w:snapToGrid w:val="0"/>
        <w:spacing w:line="560" w:lineRule="exact"/>
        <w:rPr>
          <w:rFonts w:hint="eastAsia" w:ascii="楷体" w:hAnsi="楷体" w:eastAsia="楷体" w:cs="楷体"/>
          <w:bCs/>
          <w:color w:val="FF0000"/>
          <w:sz w:val="24"/>
          <w:szCs w:val="24"/>
          <w:highlight w:val="none"/>
          <w:shd w:val="clear" w:fill="FFFF00"/>
        </w:rPr>
      </w:pPr>
      <w:r>
        <w:rPr>
          <w:rFonts w:hint="eastAsia" w:ascii="楷体" w:hAnsi="楷体" w:eastAsia="楷体" w:cs="楷体"/>
          <w:bCs/>
          <w:color w:val="auto"/>
          <w:sz w:val="24"/>
          <w:szCs w:val="24"/>
          <w:highlight w:val="none"/>
        </w:rPr>
        <w:t>供应商名称：</w:t>
      </w:r>
      <w:r>
        <w:rPr>
          <w:rFonts w:hint="eastAsia" w:ascii="楷体" w:hAnsi="楷体" w:eastAsia="楷体" w:cs="楷体"/>
          <w:bCs/>
          <w:color w:val="auto"/>
          <w:sz w:val="24"/>
          <w:szCs w:val="24"/>
          <w:highlight w:val="none"/>
          <w:u w:val="single"/>
        </w:rPr>
        <w:t>　　　　</w:t>
      </w:r>
      <w:r>
        <w:rPr>
          <w:rFonts w:hint="eastAsia" w:ascii="楷体" w:hAnsi="楷体" w:eastAsia="楷体" w:cs="楷体"/>
          <w:bCs/>
          <w:color w:val="auto"/>
          <w:sz w:val="24"/>
          <w:szCs w:val="24"/>
          <w:highlight w:val="none"/>
        </w:rPr>
        <w:t xml:space="preserve">　                     </w:t>
      </w:r>
      <w:r>
        <w:rPr>
          <w:rFonts w:hint="eastAsia" w:ascii="楷体" w:hAnsi="楷体" w:eastAsia="楷体" w:cs="楷体"/>
          <w:bCs/>
          <w:color w:val="FF0000"/>
          <w:sz w:val="24"/>
          <w:szCs w:val="24"/>
          <w:highlight w:val="none"/>
          <w:shd w:val="clear" w:fill="FFFF00"/>
        </w:rPr>
        <w:t>项目编号：</w:t>
      </w:r>
      <w:r>
        <w:rPr>
          <w:rFonts w:hint="eastAsia" w:ascii="楷体" w:hAnsi="楷体" w:eastAsia="楷体" w:cs="楷体"/>
          <w:bCs/>
          <w:color w:val="FF0000"/>
          <w:sz w:val="24"/>
          <w:szCs w:val="24"/>
          <w:highlight w:val="none"/>
          <w:u w:val="single"/>
          <w:shd w:val="clear" w:fill="FFFF00"/>
        </w:rPr>
        <w:t>　　　　　</w:t>
      </w:r>
      <w:r>
        <w:rPr>
          <w:rFonts w:hint="eastAsia" w:ascii="楷体" w:hAnsi="楷体" w:eastAsia="楷体" w:cs="楷体"/>
          <w:bCs/>
          <w:color w:val="FF0000"/>
          <w:sz w:val="24"/>
          <w:szCs w:val="24"/>
          <w:highlight w:val="none"/>
          <w:shd w:val="clear" w:fill="FFFF00"/>
        </w:rPr>
        <w:t xml:space="preserve">　 </w:t>
      </w:r>
    </w:p>
    <w:tbl>
      <w:tblPr>
        <w:tblStyle w:val="31"/>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478"/>
        <w:gridCol w:w="1668"/>
        <w:gridCol w:w="1618"/>
        <w:gridCol w:w="1683"/>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序号</w:t>
            </w:r>
          </w:p>
        </w:tc>
        <w:tc>
          <w:tcPr>
            <w:tcW w:w="1478"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货物名称</w:t>
            </w:r>
          </w:p>
        </w:tc>
        <w:tc>
          <w:tcPr>
            <w:tcW w:w="1668"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询比</w:t>
            </w:r>
            <w:r>
              <w:rPr>
                <w:rFonts w:hint="eastAsia" w:ascii="楷体" w:hAnsi="楷体" w:eastAsia="楷体" w:cs="楷体"/>
                <w:color w:val="auto"/>
                <w:sz w:val="24"/>
                <w:szCs w:val="24"/>
                <w:highlight w:val="none"/>
                <w:lang w:val="en-US" w:eastAsia="zh-CN"/>
              </w:rPr>
              <w:t>采购</w:t>
            </w:r>
            <w:r>
              <w:rPr>
                <w:rFonts w:hint="eastAsia" w:ascii="楷体" w:hAnsi="楷体" w:eastAsia="楷体" w:cs="楷体"/>
                <w:color w:val="auto"/>
                <w:sz w:val="24"/>
                <w:szCs w:val="24"/>
                <w:highlight w:val="none"/>
              </w:rPr>
              <w:t>参数</w:t>
            </w:r>
          </w:p>
        </w:tc>
        <w:tc>
          <w:tcPr>
            <w:tcW w:w="1618"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响应</w:t>
            </w:r>
            <w:r>
              <w:rPr>
                <w:rFonts w:hint="eastAsia" w:ascii="楷体" w:hAnsi="楷体" w:eastAsia="楷体" w:cs="楷体"/>
                <w:color w:val="auto"/>
                <w:sz w:val="24"/>
                <w:szCs w:val="24"/>
                <w:highlight w:val="none"/>
              </w:rPr>
              <w:t>参数</w:t>
            </w:r>
          </w:p>
        </w:tc>
        <w:tc>
          <w:tcPr>
            <w:tcW w:w="168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响应/偏离</w:t>
            </w:r>
          </w:p>
        </w:tc>
        <w:tc>
          <w:tcPr>
            <w:tcW w:w="1243" w:type="dxa"/>
            <w:vAlign w:val="center"/>
          </w:tcPr>
          <w:p>
            <w:pPr>
              <w:pageBreakBefore w:val="0"/>
              <w:kinsoku/>
              <w:wordWrap/>
              <w:overflowPunct/>
              <w:topLinePunct w:val="0"/>
              <w:bidi w:val="0"/>
              <w:snapToGrid w:val="0"/>
              <w:spacing w:line="5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47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6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18"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68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c>
          <w:tcPr>
            <w:tcW w:w="1243" w:type="dxa"/>
            <w:vAlign w:val="top"/>
          </w:tcPr>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tc>
      </w:tr>
    </w:tbl>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p>
    <w:p>
      <w:pPr>
        <w:pStyle w:val="20"/>
        <w:pageBreakBefore w:val="0"/>
        <w:tabs>
          <w:tab w:val="left" w:pos="5580"/>
        </w:tabs>
        <w:kinsoku/>
        <w:wordWrap/>
        <w:overflowPunct/>
        <w:topLinePunct w:val="0"/>
        <w:bidi w:val="0"/>
        <w:snapToGrid w:val="0"/>
        <w:spacing w:before="120" w:line="560" w:lineRule="exac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供应商名称（盖公章）：</w:t>
      </w:r>
    </w:p>
    <w:p>
      <w:pPr>
        <w:pageBreakBefore w:val="0"/>
        <w:kinsoku/>
        <w:wordWrap/>
        <w:overflowPunct/>
        <w:topLinePunct w:val="0"/>
        <w:bidi w:val="0"/>
        <w:snapToGrid w:val="0"/>
        <w:spacing w:line="560" w:lineRule="exact"/>
        <w:rPr>
          <w:rFonts w:hint="eastAsia" w:ascii="楷体" w:hAnsi="楷体" w:eastAsia="楷体" w:cs="楷体"/>
          <w:color w:val="auto"/>
          <w:sz w:val="24"/>
          <w:szCs w:val="24"/>
          <w:highlight w:val="none"/>
        </w:rPr>
      </w:pPr>
      <w:r>
        <w:rPr>
          <w:rFonts w:hint="eastAsia" w:ascii="楷体" w:hAnsi="楷体" w:eastAsia="楷体" w:cs="楷体"/>
          <w:color w:val="auto"/>
          <w:kern w:val="2"/>
          <w:sz w:val="24"/>
          <w:szCs w:val="24"/>
          <w:highlight w:val="none"/>
        </w:rPr>
        <w:t>法定代表人或其委托代理人</w:t>
      </w:r>
      <w:r>
        <w:rPr>
          <w:rFonts w:hint="eastAsia" w:ascii="楷体" w:hAnsi="楷体" w:eastAsia="楷体" w:cs="楷体"/>
          <w:color w:val="auto"/>
          <w:sz w:val="24"/>
          <w:szCs w:val="24"/>
          <w:highlight w:val="none"/>
        </w:rPr>
        <w:t>（签章或签字）：</w:t>
      </w:r>
    </w:p>
    <w:p>
      <w:pPr>
        <w:pageBreakBefore w:val="0"/>
        <w:kinsoku/>
        <w:bidi w:val="0"/>
        <w:spacing w:line="360" w:lineRule="auto"/>
        <w:ind w:right="0" w:rightChars="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pStyle w:val="2"/>
        <w:rPr>
          <w:rFonts w:hint="eastAsia"/>
        </w:rPr>
      </w:pPr>
    </w:p>
    <w:p>
      <w:pPr>
        <w:pageBreakBefore w:val="0"/>
        <w:kinsoku/>
        <w:wordWrap/>
        <w:overflowPunct/>
        <w:topLinePunct w:val="0"/>
        <w:bidi w:val="0"/>
        <w:snapToGrid w:val="0"/>
        <w:spacing w:line="560" w:lineRule="exact"/>
        <w:rPr>
          <w:rFonts w:hint="eastAsia" w:ascii="楷体" w:hAnsi="楷体" w:eastAsia="楷体" w:cs="楷体"/>
          <w:color w:val="auto"/>
          <w:highlight w:val="none"/>
        </w:rPr>
      </w:pPr>
      <w:r>
        <w:rPr>
          <w:rFonts w:hint="eastAsia" w:ascii="楷体" w:hAnsi="楷体" w:eastAsia="楷体" w:cs="楷体"/>
          <w:color w:val="auto"/>
          <w:sz w:val="22"/>
          <w:szCs w:val="22"/>
          <w:highlight w:val="none"/>
        </w:rPr>
        <w:t>注：供应商应如实填写本表。</w:t>
      </w:r>
    </w:p>
    <w:p>
      <w:pPr>
        <w:pStyle w:val="4"/>
        <w:pageBreakBefore w:val="0"/>
        <w:kinsoku/>
        <w:wordWrap/>
        <w:overflowPunct/>
        <w:topLinePunct w:val="0"/>
        <w:bidi w:val="0"/>
        <w:snapToGrid w:val="0"/>
        <w:spacing w:before="156" w:after="156" w:line="560" w:lineRule="exact"/>
        <w:jc w:val="center"/>
        <w:outlineLvl w:val="0"/>
        <w:rPr>
          <w:rFonts w:hint="eastAsia" w:ascii="楷体" w:hAnsi="楷体" w:eastAsia="楷体" w:cs="楷体"/>
          <w:color w:val="auto"/>
          <w:highlight w:val="none"/>
          <w:lang w:eastAsia="zh-CN"/>
        </w:rPr>
        <w:sectPr>
          <w:pgSz w:w="11906" w:h="16838"/>
          <w:pgMar w:top="1440" w:right="1800" w:bottom="1440" w:left="1800" w:header="851" w:footer="992" w:gutter="0"/>
          <w:cols w:space="425" w:num="1"/>
          <w:docGrid w:type="lines" w:linePitch="312" w:charSpace="0"/>
        </w:sectPr>
      </w:pPr>
    </w:p>
    <w:p>
      <w:pPr>
        <w:pStyle w:val="4"/>
        <w:pageBreakBefore w:val="0"/>
        <w:kinsoku/>
        <w:wordWrap/>
        <w:overflowPunct/>
        <w:topLinePunct w:val="0"/>
        <w:bidi w:val="0"/>
        <w:snapToGrid w:val="0"/>
        <w:spacing w:before="156" w:after="156" w:line="560" w:lineRule="exact"/>
        <w:jc w:val="center"/>
        <w:outlineLvl w:val="0"/>
        <w:rPr>
          <w:rFonts w:hint="eastAsia" w:ascii="楷体" w:hAnsi="楷体" w:eastAsia="楷体" w:cs="楷体"/>
          <w:color w:val="auto"/>
          <w:sz w:val="24"/>
          <w:highlight w:val="none"/>
        </w:rPr>
      </w:pPr>
      <w:r>
        <w:rPr>
          <w:rFonts w:hint="eastAsia" w:ascii="楷体" w:hAnsi="楷体" w:eastAsia="楷体" w:cs="楷体"/>
          <w:color w:val="auto"/>
          <w:highlight w:val="none"/>
          <w:lang w:val="en-US" w:eastAsia="zh-CN"/>
        </w:rPr>
        <w:t>五</w:t>
      </w:r>
      <w:r>
        <w:rPr>
          <w:rFonts w:hint="eastAsia" w:ascii="楷体" w:hAnsi="楷体" w:eastAsia="楷体" w:cs="楷体"/>
          <w:color w:val="auto"/>
          <w:highlight w:val="none"/>
          <w:lang w:eastAsia="zh-CN"/>
        </w:rPr>
        <w:t>、</w:t>
      </w:r>
      <w:r>
        <w:rPr>
          <w:rFonts w:hint="eastAsia" w:ascii="楷体" w:hAnsi="楷体" w:eastAsia="楷体" w:cs="楷体"/>
          <w:color w:val="auto"/>
          <w:highlight w:val="none"/>
        </w:rPr>
        <w:t>报价表</w:t>
      </w:r>
      <w:bookmarkEnd w:id="186"/>
      <w:bookmarkEnd w:id="187"/>
      <w:bookmarkEnd w:id="188"/>
      <w:r>
        <w:rPr>
          <w:rFonts w:hint="eastAsia" w:ascii="楷体" w:hAnsi="楷体" w:eastAsia="楷体" w:cs="楷体"/>
          <w:color w:val="auto"/>
          <w:sz w:val="24"/>
          <w:highlight w:val="none"/>
          <w:lang w:val="en-US" w:eastAsia="zh-CN"/>
        </w:rPr>
        <w:t xml:space="preserve">                                                                            </w:t>
      </w:r>
    </w:p>
    <w:tbl>
      <w:tblPr>
        <w:tblStyle w:val="31"/>
        <w:tblpPr w:leftFromText="180" w:rightFromText="180" w:vertAnchor="text" w:horzAnchor="page" w:tblpX="1907" w:tblpY="191"/>
        <w:tblOverlap w:val="never"/>
        <w:tblW w:w="12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887"/>
        <w:gridCol w:w="1777"/>
        <w:gridCol w:w="2054"/>
        <w:gridCol w:w="1154"/>
        <w:gridCol w:w="1869"/>
        <w:gridCol w:w="1592"/>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Align w:val="center"/>
          </w:tcPr>
          <w:p>
            <w:pPr>
              <w:spacing w:line="360" w:lineRule="auto"/>
              <w:jc w:val="center"/>
              <w:rPr>
                <w:rFonts w:hint="eastAsia" w:ascii="楷体" w:hAnsi="楷体" w:eastAsia="楷体" w:cs="楷体"/>
                <w:bCs/>
                <w:color w:val="auto"/>
                <w:sz w:val="24"/>
                <w:highlight w:val="none"/>
                <w:shd w:val="clear" w:color="auto" w:fill="FFFFFF"/>
              </w:rPr>
            </w:pPr>
            <w:bookmarkStart w:id="189" w:name="_Toc53945749"/>
            <w:r>
              <w:rPr>
                <w:rFonts w:hint="eastAsia" w:ascii="楷体" w:hAnsi="楷体" w:eastAsia="楷体" w:cs="楷体"/>
                <w:bCs/>
                <w:color w:val="auto"/>
                <w:sz w:val="24"/>
                <w:highlight w:val="none"/>
                <w:shd w:val="clear" w:color="auto" w:fill="FFFFFF"/>
              </w:rPr>
              <w:t>序号</w:t>
            </w:r>
          </w:p>
        </w:tc>
        <w:tc>
          <w:tcPr>
            <w:tcW w:w="188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名称</w:t>
            </w:r>
          </w:p>
        </w:tc>
        <w:tc>
          <w:tcPr>
            <w:tcW w:w="177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品牌</w:t>
            </w:r>
          </w:p>
        </w:tc>
        <w:tc>
          <w:tcPr>
            <w:tcW w:w="2054"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型号和规格</w:t>
            </w:r>
            <w:r>
              <w:rPr>
                <w:rFonts w:hint="eastAsia" w:ascii="楷体" w:hAnsi="楷体" w:eastAsia="楷体" w:cs="楷体"/>
                <w:bCs/>
                <w:color w:val="auto"/>
                <w:sz w:val="24"/>
                <w:highlight w:val="none"/>
                <w:shd w:val="clear" w:color="auto" w:fill="FFFFFF"/>
                <w:lang w:val="en-US" w:eastAsia="zh-CN"/>
              </w:rPr>
              <w:t xml:space="preserve">          </w:t>
            </w:r>
            <w:r>
              <w:rPr>
                <w:rFonts w:hint="eastAsia" w:ascii="楷体" w:hAnsi="楷体" w:eastAsia="楷体" w:cs="楷体"/>
                <w:bCs/>
                <w:color w:val="auto"/>
                <w:sz w:val="24"/>
                <w:highlight w:val="none"/>
                <w:shd w:val="clear" w:color="auto" w:fill="FFFFFF"/>
              </w:rPr>
              <w:t>（软件版本号）</w:t>
            </w:r>
          </w:p>
        </w:tc>
        <w:tc>
          <w:tcPr>
            <w:tcW w:w="1154"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数量</w:t>
            </w:r>
          </w:p>
        </w:tc>
        <w:tc>
          <w:tcPr>
            <w:tcW w:w="1869"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制造商名称</w:t>
            </w:r>
          </w:p>
        </w:tc>
        <w:tc>
          <w:tcPr>
            <w:tcW w:w="1592"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单价</w:t>
            </w:r>
          </w:p>
        </w:tc>
        <w:tc>
          <w:tcPr>
            <w:tcW w:w="1385"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1</w:t>
            </w:r>
          </w:p>
        </w:tc>
        <w:tc>
          <w:tcPr>
            <w:tcW w:w="1887" w:type="dxa"/>
            <w:vAlign w:val="center"/>
          </w:tcPr>
          <w:p>
            <w:pPr>
              <w:spacing w:line="360" w:lineRule="auto"/>
              <w:jc w:val="center"/>
              <w:rPr>
                <w:rFonts w:hint="eastAsia" w:ascii="楷体" w:hAnsi="楷体" w:eastAsia="楷体" w:cs="楷体"/>
                <w:bCs/>
                <w:color w:val="auto"/>
                <w:sz w:val="24"/>
                <w:highlight w:val="none"/>
                <w:shd w:val="clear" w:color="auto" w:fill="FFFFFF"/>
              </w:rPr>
            </w:pPr>
          </w:p>
        </w:tc>
        <w:tc>
          <w:tcPr>
            <w:tcW w:w="1777" w:type="dxa"/>
            <w:vAlign w:val="top"/>
          </w:tcPr>
          <w:p>
            <w:pPr>
              <w:spacing w:line="360" w:lineRule="auto"/>
              <w:rPr>
                <w:rFonts w:hint="eastAsia" w:ascii="楷体" w:hAnsi="楷体" w:eastAsia="楷体" w:cs="楷体"/>
                <w:b/>
                <w:color w:val="auto"/>
                <w:sz w:val="24"/>
                <w:highlight w:val="none"/>
                <w:shd w:val="clear" w:color="auto" w:fill="FFFFFF"/>
              </w:rPr>
            </w:pPr>
          </w:p>
        </w:tc>
        <w:tc>
          <w:tcPr>
            <w:tcW w:w="2054" w:type="dxa"/>
            <w:vAlign w:val="top"/>
          </w:tcPr>
          <w:p>
            <w:pPr>
              <w:spacing w:line="360" w:lineRule="auto"/>
              <w:rPr>
                <w:rFonts w:hint="eastAsia" w:ascii="楷体" w:hAnsi="楷体" w:eastAsia="楷体" w:cs="楷体"/>
                <w:b/>
                <w:color w:val="auto"/>
                <w:sz w:val="24"/>
                <w:highlight w:val="none"/>
                <w:shd w:val="clear" w:color="auto" w:fill="FFFFFF"/>
              </w:rPr>
            </w:pPr>
          </w:p>
        </w:tc>
        <w:tc>
          <w:tcPr>
            <w:tcW w:w="1154" w:type="dxa"/>
            <w:vAlign w:val="top"/>
          </w:tcPr>
          <w:p>
            <w:pPr>
              <w:spacing w:line="360" w:lineRule="auto"/>
              <w:rPr>
                <w:rFonts w:hint="eastAsia" w:ascii="楷体" w:hAnsi="楷体" w:eastAsia="楷体" w:cs="楷体"/>
                <w:b/>
                <w:color w:val="auto"/>
                <w:sz w:val="24"/>
                <w:highlight w:val="none"/>
                <w:shd w:val="clear" w:color="auto" w:fill="FFFFFF"/>
              </w:rPr>
            </w:pPr>
          </w:p>
        </w:tc>
        <w:tc>
          <w:tcPr>
            <w:tcW w:w="1869" w:type="dxa"/>
            <w:vAlign w:val="top"/>
          </w:tcPr>
          <w:p>
            <w:pPr>
              <w:spacing w:line="360" w:lineRule="auto"/>
              <w:rPr>
                <w:rFonts w:hint="eastAsia" w:ascii="楷体" w:hAnsi="楷体" w:eastAsia="楷体" w:cs="楷体"/>
                <w:b/>
                <w:color w:val="auto"/>
                <w:sz w:val="24"/>
                <w:highlight w:val="none"/>
                <w:shd w:val="clear" w:color="auto" w:fill="FFFFFF"/>
              </w:rPr>
            </w:pPr>
          </w:p>
        </w:tc>
        <w:tc>
          <w:tcPr>
            <w:tcW w:w="1592" w:type="dxa"/>
            <w:vAlign w:val="top"/>
          </w:tcPr>
          <w:p>
            <w:pPr>
              <w:spacing w:line="360" w:lineRule="auto"/>
              <w:rPr>
                <w:rFonts w:hint="eastAsia" w:ascii="楷体" w:hAnsi="楷体" w:eastAsia="楷体" w:cs="楷体"/>
                <w:b/>
                <w:color w:val="auto"/>
                <w:sz w:val="24"/>
                <w:highlight w:val="none"/>
                <w:shd w:val="clear" w:color="auto" w:fill="FFFFFF"/>
              </w:rPr>
            </w:pPr>
          </w:p>
        </w:tc>
        <w:tc>
          <w:tcPr>
            <w:tcW w:w="1385" w:type="dxa"/>
            <w:vAlign w:val="top"/>
          </w:tcPr>
          <w:p>
            <w:pPr>
              <w:spacing w:line="360" w:lineRule="auto"/>
              <w:rPr>
                <w:rFonts w:hint="eastAsia" w:ascii="楷体" w:hAnsi="楷体" w:eastAsia="楷体" w:cs="楷体"/>
                <w:b/>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2</w:t>
            </w:r>
          </w:p>
        </w:tc>
        <w:tc>
          <w:tcPr>
            <w:tcW w:w="1887" w:type="dxa"/>
            <w:vAlign w:val="center"/>
          </w:tcPr>
          <w:p>
            <w:pPr>
              <w:spacing w:line="360" w:lineRule="auto"/>
              <w:jc w:val="center"/>
              <w:rPr>
                <w:rFonts w:hint="eastAsia" w:ascii="楷体" w:hAnsi="楷体" w:eastAsia="楷体" w:cs="楷体"/>
                <w:bCs/>
                <w:color w:val="auto"/>
                <w:sz w:val="24"/>
                <w:highlight w:val="none"/>
                <w:shd w:val="clear" w:color="auto" w:fill="FFFFFF"/>
              </w:rPr>
            </w:pPr>
          </w:p>
        </w:tc>
        <w:tc>
          <w:tcPr>
            <w:tcW w:w="1777" w:type="dxa"/>
            <w:vAlign w:val="top"/>
          </w:tcPr>
          <w:p>
            <w:pPr>
              <w:spacing w:line="360" w:lineRule="auto"/>
              <w:rPr>
                <w:rFonts w:hint="eastAsia" w:ascii="楷体" w:hAnsi="楷体" w:eastAsia="楷体" w:cs="楷体"/>
                <w:b/>
                <w:color w:val="auto"/>
                <w:sz w:val="24"/>
                <w:highlight w:val="none"/>
                <w:shd w:val="clear" w:color="auto" w:fill="FFFFFF"/>
              </w:rPr>
            </w:pPr>
          </w:p>
        </w:tc>
        <w:tc>
          <w:tcPr>
            <w:tcW w:w="2054" w:type="dxa"/>
            <w:vAlign w:val="top"/>
          </w:tcPr>
          <w:p>
            <w:pPr>
              <w:spacing w:line="360" w:lineRule="auto"/>
              <w:rPr>
                <w:rFonts w:hint="eastAsia" w:ascii="楷体" w:hAnsi="楷体" w:eastAsia="楷体" w:cs="楷体"/>
                <w:b/>
                <w:color w:val="auto"/>
                <w:sz w:val="24"/>
                <w:highlight w:val="none"/>
                <w:shd w:val="clear" w:color="auto" w:fill="FFFFFF"/>
              </w:rPr>
            </w:pPr>
          </w:p>
        </w:tc>
        <w:tc>
          <w:tcPr>
            <w:tcW w:w="1154" w:type="dxa"/>
            <w:vAlign w:val="top"/>
          </w:tcPr>
          <w:p>
            <w:pPr>
              <w:spacing w:line="360" w:lineRule="auto"/>
              <w:rPr>
                <w:rFonts w:hint="eastAsia" w:ascii="楷体" w:hAnsi="楷体" w:eastAsia="楷体" w:cs="楷体"/>
                <w:b/>
                <w:color w:val="auto"/>
                <w:sz w:val="24"/>
                <w:highlight w:val="none"/>
                <w:shd w:val="clear" w:color="auto" w:fill="FFFFFF"/>
              </w:rPr>
            </w:pPr>
          </w:p>
        </w:tc>
        <w:tc>
          <w:tcPr>
            <w:tcW w:w="1869" w:type="dxa"/>
            <w:vAlign w:val="top"/>
          </w:tcPr>
          <w:p>
            <w:pPr>
              <w:spacing w:line="360" w:lineRule="auto"/>
              <w:rPr>
                <w:rFonts w:hint="eastAsia" w:ascii="楷体" w:hAnsi="楷体" w:eastAsia="楷体" w:cs="楷体"/>
                <w:b/>
                <w:color w:val="auto"/>
                <w:sz w:val="24"/>
                <w:highlight w:val="none"/>
                <w:shd w:val="clear" w:color="auto" w:fill="FFFFFF"/>
              </w:rPr>
            </w:pPr>
          </w:p>
        </w:tc>
        <w:tc>
          <w:tcPr>
            <w:tcW w:w="1592" w:type="dxa"/>
            <w:vAlign w:val="top"/>
          </w:tcPr>
          <w:p>
            <w:pPr>
              <w:spacing w:line="360" w:lineRule="auto"/>
              <w:rPr>
                <w:rFonts w:hint="eastAsia" w:ascii="楷体" w:hAnsi="楷体" w:eastAsia="楷体" w:cs="楷体"/>
                <w:b/>
                <w:color w:val="auto"/>
                <w:sz w:val="24"/>
                <w:highlight w:val="none"/>
                <w:shd w:val="clear" w:color="auto" w:fill="FFFFFF"/>
              </w:rPr>
            </w:pPr>
          </w:p>
        </w:tc>
        <w:tc>
          <w:tcPr>
            <w:tcW w:w="1385" w:type="dxa"/>
            <w:vAlign w:val="top"/>
          </w:tcPr>
          <w:p>
            <w:pPr>
              <w:spacing w:line="360" w:lineRule="auto"/>
              <w:rPr>
                <w:rFonts w:hint="eastAsia" w:ascii="楷体" w:hAnsi="楷体" w:eastAsia="楷体" w:cs="楷体"/>
                <w:b/>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3</w:t>
            </w:r>
          </w:p>
        </w:tc>
        <w:tc>
          <w:tcPr>
            <w:tcW w:w="1887" w:type="dxa"/>
            <w:vAlign w:val="center"/>
          </w:tcPr>
          <w:p>
            <w:pPr>
              <w:spacing w:line="360" w:lineRule="auto"/>
              <w:jc w:val="center"/>
              <w:rPr>
                <w:rFonts w:hint="eastAsia" w:ascii="楷体" w:hAnsi="楷体" w:eastAsia="楷体" w:cs="楷体"/>
                <w:bCs/>
                <w:color w:val="auto"/>
                <w:sz w:val="24"/>
                <w:highlight w:val="none"/>
                <w:shd w:val="clear" w:color="auto" w:fill="FFFFFF"/>
              </w:rPr>
            </w:pPr>
          </w:p>
        </w:tc>
        <w:tc>
          <w:tcPr>
            <w:tcW w:w="1777" w:type="dxa"/>
            <w:vAlign w:val="top"/>
          </w:tcPr>
          <w:p>
            <w:pPr>
              <w:spacing w:line="360" w:lineRule="auto"/>
              <w:rPr>
                <w:rFonts w:hint="eastAsia" w:ascii="楷体" w:hAnsi="楷体" w:eastAsia="楷体" w:cs="楷体"/>
                <w:b/>
                <w:color w:val="auto"/>
                <w:sz w:val="24"/>
                <w:highlight w:val="none"/>
                <w:shd w:val="clear" w:color="auto" w:fill="FFFFFF"/>
              </w:rPr>
            </w:pPr>
          </w:p>
        </w:tc>
        <w:tc>
          <w:tcPr>
            <w:tcW w:w="2054" w:type="dxa"/>
            <w:vAlign w:val="top"/>
          </w:tcPr>
          <w:p>
            <w:pPr>
              <w:spacing w:line="360" w:lineRule="auto"/>
              <w:rPr>
                <w:rFonts w:hint="eastAsia" w:ascii="楷体" w:hAnsi="楷体" w:eastAsia="楷体" w:cs="楷体"/>
                <w:b/>
                <w:color w:val="auto"/>
                <w:sz w:val="24"/>
                <w:highlight w:val="none"/>
                <w:shd w:val="clear" w:color="auto" w:fill="FFFFFF"/>
              </w:rPr>
            </w:pPr>
          </w:p>
        </w:tc>
        <w:tc>
          <w:tcPr>
            <w:tcW w:w="1154" w:type="dxa"/>
            <w:vAlign w:val="top"/>
          </w:tcPr>
          <w:p>
            <w:pPr>
              <w:spacing w:line="360" w:lineRule="auto"/>
              <w:rPr>
                <w:rFonts w:hint="eastAsia" w:ascii="楷体" w:hAnsi="楷体" w:eastAsia="楷体" w:cs="楷体"/>
                <w:b/>
                <w:color w:val="auto"/>
                <w:sz w:val="24"/>
                <w:highlight w:val="none"/>
                <w:shd w:val="clear" w:color="auto" w:fill="FFFFFF"/>
              </w:rPr>
            </w:pPr>
          </w:p>
        </w:tc>
        <w:tc>
          <w:tcPr>
            <w:tcW w:w="1869" w:type="dxa"/>
            <w:vAlign w:val="top"/>
          </w:tcPr>
          <w:p>
            <w:pPr>
              <w:spacing w:line="360" w:lineRule="auto"/>
              <w:rPr>
                <w:rFonts w:hint="eastAsia" w:ascii="楷体" w:hAnsi="楷体" w:eastAsia="楷体" w:cs="楷体"/>
                <w:b/>
                <w:color w:val="auto"/>
                <w:sz w:val="24"/>
                <w:highlight w:val="none"/>
                <w:shd w:val="clear" w:color="auto" w:fill="FFFFFF"/>
              </w:rPr>
            </w:pPr>
          </w:p>
        </w:tc>
        <w:tc>
          <w:tcPr>
            <w:tcW w:w="1592" w:type="dxa"/>
            <w:vAlign w:val="top"/>
          </w:tcPr>
          <w:p>
            <w:pPr>
              <w:spacing w:line="360" w:lineRule="auto"/>
              <w:rPr>
                <w:rFonts w:hint="eastAsia" w:ascii="楷体" w:hAnsi="楷体" w:eastAsia="楷体" w:cs="楷体"/>
                <w:b/>
                <w:color w:val="auto"/>
                <w:sz w:val="24"/>
                <w:highlight w:val="none"/>
                <w:shd w:val="clear" w:color="auto" w:fill="FFFFFF"/>
              </w:rPr>
            </w:pPr>
          </w:p>
        </w:tc>
        <w:tc>
          <w:tcPr>
            <w:tcW w:w="1385" w:type="dxa"/>
            <w:vAlign w:val="top"/>
          </w:tcPr>
          <w:p>
            <w:pPr>
              <w:spacing w:line="360" w:lineRule="auto"/>
              <w:rPr>
                <w:rFonts w:hint="eastAsia" w:ascii="楷体" w:hAnsi="楷体" w:eastAsia="楷体" w:cs="楷体"/>
                <w:b/>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4</w:t>
            </w:r>
          </w:p>
        </w:tc>
        <w:tc>
          <w:tcPr>
            <w:tcW w:w="1887" w:type="dxa"/>
            <w:vAlign w:val="center"/>
          </w:tcPr>
          <w:p>
            <w:pPr>
              <w:spacing w:line="360" w:lineRule="auto"/>
              <w:jc w:val="center"/>
              <w:rPr>
                <w:rFonts w:hint="eastAsia" w:ascii="楷体" w:hAnsi="楷体" w:eastAsia="楷体" w:cs="楷体"/>
                <w:bCs/>
                <w:color w:val="auto"/>
                <w:sz w:val="24"/>
                <w:highlight w:val="none"/>
                <w:shd w:val="clear" w:color="auto" w:fill="FFFFFF"/>
              </w:rPr>
            </w:pPr>
          </w:p>
        </w:tc>
        <w:tc>
          <w:tcPr>
            <w:tcW w:w="1777" w:type="dxa"/>
            <w:vAlign w:val="top"/>
          </w:tcPr>
          <w:p>
            <w:pPr>
              <w:spacing w:line="360" w:lineRule="auto"/>
              <w:rPr>
                <w:rFonts w:hint="eastAsia" w:ascii="楷体" w:hAnsi="楷体" w:eastAsia="楷体" w:cs="楷体"/>
                <w:b/>
                <w:color w:val="auto"/>
                <w:sz w:val="24"/>
                <w:highlight w:val="none"/>
                <w:shd w:val="clear" w:color="auto" w:fill="FFFFFF"/>
              </w:rPr>
            </w:pPr>
          </w:p>
        </w:tc>
        <w:tc>
          <w:tcPr>
            <w:tcW w:w="2054" w:type="dxa"/>
            <w:vAlign w:val="top"/>
          </w:tcPr>
          <w:p>
            <w:pPr>
              <w:spacing w:line="360" w:lineRule="auto"/>
              <w:rPr>
                <w:rFonts w:hint="eastAsia" w:ascii="楷体" w:hAnsi="楷体" w:eastAsia="楷体" w:cs="楷体"/>
                <w:b/>
                <w:color w:val="auto"/>
                <w:sz w:val="24"/>
                <w:highlight w:val="none"/>
                <w:shd w:val="clear" w:color="auto" w:fill="FFFFFF"/>
              </w:rPr>
            </w:pPr>
          </w:p>
        </w:tc>
        <w:tc>
          <w:tcPr>
            <w:tcW w:w="1154" w:type="dxa"/>
            <w:vAlign w:val="top"/>
          </w:tcPr>
          <w:p>
            <w:pPr>
              <w:spacing w:line="360" w:lineRule="auto"/>
              <w:rPr>
                <w:rFonts w:hint="eastAsia" w:ascii="楷体" w:hAnsi="楷体" w:eastAsia="楷体" w:cs="楷体"/>
                <w:b/>
                <w:color w:val="auto"/>
                <w:sz w:val="24"/>
                <w:highlight w:val="none"/>
                <w:shd w:val="clear" w:color="auto" w:fill="FFFFFF"/>
              </w:rPr>
            </w:pPr>
          </w:p>
        </w:tc>
        <w:tc>
          <w:tcPr>
            <w:tcW w:w="1869" w:type="dxa"/>
            <w:vAlign w:val="top"/>
          </w:tcPr>
          <w:p>
            <w:pPr>
              <w:spacing w:line="360" w:lineRule="auto"/>
              <w:rPr>
                <w:rFonts w:hint="eastAsia" w:ascii="楷体" w:hAnsi="楷体" w:eastAsia="楷体" w:cs="楷体"/>
                <w:b/>
                <w:color w:val="auto"/>
                <w:sz w:val="24"/>
                <w:highlight w:val="none"/>
                <w:shd w:val="clear" w:color="auto" w:fill="FFFFFF"/>
              </w:rPr>
            </w:pPr>
          </w:p>
        </w:tc>
        <w:tc>
          <w:tcPr>
            <w:tcW w:w="1592" w:type="dxa"/>
            <w:vAlign w:val="top"/>
          </w:tcPr>
          <w:p>
            <w:pPr>
              <w:spacing w:line="360" w:lineRule="auto"/>
              <w:rPr>
                <w:rFonts w:hint="eastAsia" w:ascii="楷体" w:hAnsi="楷体" w:eastAsia="楷体" w:cs="楷体"/>
                <w:b/>
                <w:color w:val="auto"/>
                <w:sz w:val="24"/>
                <w:highlight w:val="none"/>
                <w:shd w:val="clear" w:color="auto" w:fill="FFFFFF"/>
              </w:rPr>
            </w:pPr>
          </w:p>
        </w:tc>
        <w:tc>
          <w:tcPr>
            <w:tcW w:w="1385" w:type="dxa"/>
            <w:vAlign w:val="top"/>
          </w:tcPr>
          <w:p>
            <w:pPr>
              <w:spacing w:line="360" w:lineRule="auto"/>
              <w:rPr>
                <w:rFonts w:hint="eastAsia" w:ascii="楷体" w:hAnsi="楷体" w:eastAsia="楷体" w:cs="楷体"/>
                <w:b/>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5</w:t>
            </w:r>
          </w:p>
        </w:tc>
        <w:tc>
          <w:tcPr>
            <w:tcW w:w="1887" w:type="dxa"/>
            <w:vAlign w:val="center"/>
          </w:tcPr>
          <w:p>
            <w:pPr>
              <w:spacing w:line="360" w:lineRule="auto"/>
              <w:jc w:val="center"/>
              <w:rPr>
                <w:rFonts w:hint="eastAsia" w:ascii="楷体" w:hAnsi="楷体" w:eastAsia="楷体" w:cs="楷体"/>
                <w:bCs/>
                <w:color w:val="auto"/>
                <w:sz w:val="24"/>
                <w:highlight w:val="none"/>
                <w:shd w:val="clear" w:color="auto" w:fill="FFFFFF"/>
              </w:rPr>
            </w:pPr>
          </w:p>
        </w:tc>
        <w:tc>
          <w:tcPr>
            <w:tcW w:w="1777" w:type="dxa"/>
            <w:vAlign w:val="top"/>
          </w:tcPr>
          <w:p>
            <w:pPr>
              <w:spacing w:line="360" w:lineRule="auto"/>
              <w:rPr>
                <w:rFonts w:hint="eastAsia" w:ascii="楷体" w:hAnsi="楷体" w:eastAsia="楷体" w:cs="楷体"/>
                <w:b/>
                <w:color w:val="auto"/>
                <w:sz w:val="24"/>
                <w:highlight w:val="none"/>
                <w:shd w:val="clear" w:color="auto" w:fill="FFFFFF"/>
              </w:rPr>
            </w:pPr>
          </w:p>
        </w:tc>
        <w:tc>
          <w:tcPr>
            <w:tcW w:w="2054" w:type="dxa"/>
            <w:vAlign w:val="top"/>
          </w:tcPr>
          <w:p>
            <w:pPr>
              <w:spacing w:line="360" w:lineRule="auto"/>
              <w:rPr>
                <w:rFonts w:hint="eastAsia" w:ascii="楷体" w:hAnsi="楷体" w:eastAsia="楷体" w:cs="楷体"/>
                <w:b/>
                <w:color w:val="auto"/>
                <w:sz w:val="24"/>
                <w:highlight w:val="none"/>
                <w:shd w:val="clear" w:color="auto" w:fill="FFFFFF"/>
              </w:rPr>
            </w:pPr>
          </w:p>
        </w:tc>
        <w:tc>
          <w:tcPr>
            <w:tcW w:w="1154" w:type="dxa"/>
            <w:vAlign w:val="top"/>
          </w:tcPr>
          <w:p>
            <w:pPr>
              <w:spacing w:line="360" w:lineRule="auto"/>
              <w:rPr>
                <w:rFonts w:hint="eastAsia" w:ascii="楷体" w:hAnsi="楷体" w:eastAsia="楷体" w:cs="楷体"/>
                <w:b/>
                <w:color w:val="auto"/>
                <w:sz w:val="24"/>
                <w:highlight w:val="none"/>
                <w:shd w:val="clear" w:color="auto" w:fill="FFFFFF"/>
              </w:rPr>
            </w:pPr>
          </w:p>
        </w:tc>
        <w:tc>
          <w:tcPr>
            <w:tcW w:w="1869" w:type="dxa"/>
            <w:vAlign w:val="top"/>
          </w:tcPr>
          <w:p>
            <w:pPr>
              <w:spacing w:line="360" w:lineRule="auto"/>
              <w:rPr>
                <w:rFonts w:hint="eastAsia" w:ascii="楷体" w:hAnsi="楷体" w:eastAsia="楷体" w:cs="楷体"/>
                <w:b/>
                <w:color w:val="auto"/>
                <w:sz w:val="24"/>
                <w:highlight w:val="none"/>
                <w:shd w:val="clear" w:color="auto" w:fill="FFFFFF"/>
              </w:rPr>
            </w:pPr>
          </w:p>
        </w:tc>
        <w:tc>
          <w:tcPr>
            <w:tcW w:w="1592" w:type="dxa"/>
            <w:vAlign w:val="top"/>
          </w:tcPr>
          <w:p>
            <w:pPr>
              <w:spacing w:line="360" w:lineRule="auto"/>
              <w:rPr>
                <w:rFonts w:hint="eastAsia" w:ascii="楷体" w:hAnsi="楷体" w:eastAsia="楷体" w:cs="楷体"/>
                <w:b/>
                <w:color w:val="auto"/>
                <w:sz w:val="24"/>
                <w:highlight w:val="none"/>
                <w:shd w:val="clear" w:color="auto" w:fill="FFFFFF"/>
              </w:rPr>
            </w:pPr>
          </w:p>
        </w:tc>
        <w:tc>
          <w:tcPr>
            <w:tcW w:w="1385" w:type="dxa"/>
            <w:vAlign w:val="top"/>
          </w:tcPr>
          <w:p>
            <w:pPr>
              <w:spacing w:line="360" w:lineRule="auto"/>
              <w:rPr>
                <w:rFonts w:hint="eastAsia" w:ascii="楷体" w:hAnsi="楷体" w:eastAsia="楷体" w:cs="楷体"/>
                <w:b/>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Align w:val="center"/>
          </w:tcPr>
          <w:p>
            <w:pPr>
              <w:spacing w:line="360" w:lineRule="auto"/>
              <w:jc w:val="center"/>
              <w:rPr>
                <w:rFonts w:hint="eastAsia" w:ascii="楷体" w:hAnsi="楷体" w:eastAsia="楷体" w:cs="楷体"/>
                <w:bCs/>
                <w:color w:val="auto"/>
                <w:sz w:val="24"/>
                <w:highlight w:val="none"/>
                <w:shd w:val="clear" w:color="auto" w:fill="FFFFFF"/>
              </w:rPr>
            </w:pPr>
            <w:r>
              <w:rPr>
                <w:rFonts w:hint="eastAsia" w:ascii="楷体" w:hAnsi="楷体" w:eastAsia="楷体" w:cs="楷体"/>
                <w:bCs/>
                <w:color w:val="auto"/>
                <w:sz w:val="24"/>
                <w:highlight w:val="none"/>
                <w:shd w:val="clear" w:color="auto" w:fill="FFFFFF"/>
              </w:rPr>
              <w:t>……</w:t>
            </w:r>
          </w:p>
        </w:tc>
        <w:tc>
          <w:tcPr>
            <w:tcW w:w="1887" w:type="dxa"/>
            <w:vAlign w:val="center"/>
          </w:tcPr>
          <w:p>
            <w:pPr>
              <w:spacing w:line="360" w:lineRule="auto"/>
              <w:jc w:val="center"/>
              <w:rPr>
                <w:rFonts w:hint="eastAsia" w:ascii="楷体" w:hAnsi="楷体" w:eastAsia="楷体" w:cs="楷体"/>
                <w:bCs/>
                <w:color w:val="auto"/>
                <w:sz w:val="24"/>
                <w:highlight w:val="none"/>
                <w:shd w:val="clear" w:color="auto" w:fill="FFFFFF"/>
              </w:rPr>
            </w:pPr>
          </w:p>
        </w:tc>
        <w:tc>
          <w:tcPr>
            <w:tcW w:w="1777" w:type="dxa"/>
            <w:vAlign w:val="top"/>
          </w:tcPr>
          <w:p>
            <w:pPr>
              <w:spacing w:line="360" w:lineRule="auto"/>
              <w:rPr>
                <w:rFonts w:hint="eastAsia" w:ascii="楷体" w:hAnsi="楷体" w:eastAsia="楷体" w:cs="楷体"/>
                <w:b/>
                <w:color w:val="auto"/>
                <w:sz w:val="24"/>
                <w:highlight w:val="none"/>
                <w:shd w:val="clear" w:color="auto" w:fill="FFFFFF"/>
              </w:rPr>
            </w:pPr>
          </w:p>
        </w:tc>
        <w:tc>
          <w:tcPr>
            <w:tcW w:w="2054" w:type="dxa"/>
            <w:vAlign w:val="top"/>
          </w:tcPr>
          <w:p>
            <w:pPr>
              <w:spacing w:line="360" w:lineRule="auto"/>
              <w:rPr>
                <w:rFonts w:hint="eastAsia" w:ascii="楷体" w:hAnsi="楷体" w:eastAsia="楷体" w:cs="楷体"/>
                <w:b/>
                <w:color w:val="auto"/>
                <w:sz w:val="24"/>
                <w:highlight w:val="none"/>
                <w:shd w:val="clear" w:color="auto" w:fill="FFFFFF"/>
              </w:rPr>
            </w:pPr>
          </w:p>
        </w:tc>
        <w:tc>
          <w:tcPr>
            <w:tcW w:w="1154" w:type="dxa"/>
            <w:vAlign w:val="top"/>
          </w:tcPr>
          <w:p>
            <w:pPr>
              <w:spacing w:line="360" w:lineRule="auto"/>
              <w:rPr>
                <w:rFonts w:hint="eastAsia" w:ascii="楷体" w:hAnsi="楷体" w:eastAsia="楷体" w:cs="楷体"/>
                <w:b/>
                <w:color w:val="auto"/>
                <w:sz w:val="24"/>
                <w:highlight w:val="none"/>
                <w:shd w:val="clear" w:color="auto" w:fill="FFFFFF"/>
              </w:rPr>
            </w:pPr>
          </w:p>
        </w:tc>
        <w:tc>
          <w:tcPr>
            <w:tcW w:w="1869" w:type="dxa"/>
            <w:vAlign w:val="top"/>
          </w:tcPr>
          <w:p>
            <w:pPr>
              <w:spacing w:line="360" w:lineRule="auto"/>
              <w:rPr>
                <w:rFonts w:hint="eastAsia" w:ascii="楷体" w:hAnsi="楷体" w:eastAsia="楷体" w:cs="楷体"/>
                <w:b/>
                <w:color w:val="auto"/>
                <w:sz w:val="24"/>
                <w:highlight w:val="none"/>
                <w:shd w:val="clear" w:color="auto" w:fill="FFFFFF"/>
              </w:rPr>
            </w:pPr>
          </w:p>
        </w:tc>
        <w:tc>
          <w:tcPr>
            <w:tcW w:w="1592" w:type="dxa"/>
            <w:vAlign w:val="top"/>
          </w:tcPr>
          <w:p>
            <w:pPr>
              <w:spacing w:line="360" w:lineRule="auto"/>
              <w:rPr>
                <w:rFonts w:hint="eastAsia" w:ascii="楷体" w:hAnsi="楷体" w:eastAsia="楷体" w:cs="楷体"/>
                <w:b/>
                <w:color w:val="auto"/>
                <w:sz w:val="24"/>
                <w:highlight w:val="none"/>
                <w:shd w:val="clear" w:color="auto" w:fill="FFFFFF"/>
              </w:rPr>
            </w:pPr>
          </w:p>
        </w:tc>
        <w:tc>
          <w:tcPr>
            <w:tcW w:w="1385" w:type="dxa"/>
            <w:vAlign w:val="top"/>
          </w:tcPr>
          <w:p>
            <w:pPr>
              <w:spacing w:line="360" w:lineRule="auto"/>
              <w:rPr>
                <w:rFonts w:hint="eastAsia" w:ascii="楷体" w:hAnsi="楷体" w:eastAsia="楷体" w:cs="楷体"/>
                <w:b/>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80" w:type="dxa"/>
            <w:gridSpan w:val="7"/>
            <w:vAlign w:val="top"/>
          </w:tcPr>
          <w:p>
            <w:pPr>
              <w:spacing w:line="360" w:lineRule="auto"/>
              <w:jc w:val="center"/>
              <w:rPr>
                <w:rFonts w:hint="eastAsia" w:ascii="楷体" w:hAnsi="楷体" w:eastAsia="楷体" w:cs="楷体"/>
                <w:b/>
                <w:color w:val="auto"/>
                <w:sz w:val="24"/>
                <w:highlight w:val="none"/>
                <w:shd w:val="clear" w:color="auto" w:fill="FFFFFF"/>
              </w:rPr>
            </w:pPr>
            <w:r>
              <w:rPr>
                <w:rFonts w:hint="eastAsia" w:ascii="楷体" w:hAnsi="楷体" w:eastAsia="楷体" w:cs="楷体"/>
                <w:b/>
                <w:color w:val="auto"/>
                <w:sz w:val="24"/>
                <w:highlight w:val="none"/>
                <w:shd w:val="clear" w:color="auto" w:fill="FFFFFF"/>
              </w:rPr>
              <w:t>总计</w:t>
            </w:r>
          </w:p>
        </w:tc>
        <w:tc>
          <w:tcPr>
            <w:tcW w:w="1385" w:type="dxa"/>
            <w:vAlign w:val="top"/>
          </w:tcPr>
          <w:p>
            <w:pPr>
              <w:spacing w:line="360" w:lineRule="auto"/>
              <w:rPr>
                <w:rFonts w:hint="eastAsia" w:ascii="楷体" w:hAnsi="楷体" w:eastAsia="楷体" w:cs="楷体"/>
                <w:b/>
                <w:color w:val="auto"/>
                <w:sz w:val="24"/>
                <w:highlight w:val="none"/>
                <w:shd w:val="clear" w:color="auto" w:fill="FFFFFF"/>
              </w:rPr>
            </w:pPr>
          </w:p>
        </w:tc>
      </w:tr>
    </w:tbl>
    <w:p>
      <w:pPr>
        <w:pageBreakBefore w:val="0"/>
        <w:kinsoku/>
        <w:wordWrap/>
        <w:overflowPunct/>
        <w:topLinePunct w:val="0"/>
        <w:bidi w:val="0"/>
        <w:snapToGrid w:val="0"/>
        <w:spacing w:line="560" w:lineRule="exact"/>
        <w:jc w:val="both"/>
        <w:rPr>
          <w:rFonts w:hint="eastAsia" w:ascii="楷体" w:hAnsi="楷体" w:eastAsia="楷体" w:cs="楷体"/>
          <w:color w:val="auto"/>
          <w:highlight w:val="none"/>
          <w:lang w:val="en-US" w:eastAsia="zh-CN"/>
        </w:rPr>
      </w:pPr>
    </w:p>
    <w:p>
      <w:pPr>
        <w:rPr>
          <w:rFonts w:hint="eastAsia" w:ascii="楷体" w:hAnsi="楷体" w:eastAsia="楷体" w:cs="楷体"/>
          <w:color w:val="auto"/>
          <w:highlight w:val="none"/>
          <w:lang w:val="en-US" w:eastAsia="zh-CN"/>
        </w:rPr>
      </w:pPr>
      <w:bookmarkStart w:id="190" w:name="_Toc32608"/>
      <w:bookmarkStart w:id="191" w:name="_Toc15161"/>
    </w:p>
    <w:p>
      <w:pPr>
        <w:pStyle w:val="29"/>
        <w:rPr>
          <w:rFonts w:hint="eastAsia" w:ascii="楷体" w:hAnsi="楷体" w:eastAsia="楷体" w:cs="楷体"/>
          <w:color w:val="auto"/>
          <w:kern w:val="2"/>
          <w:sz w:val="24"/>
          <w:szCs w:val="24"/>
          <w:highlight w:val="none"/>
          <w:lang w:val="en-US" w:eastAsia="zh-CN" w:bidi="ar-SA"/>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bidi w:val="0"/>
        <w:rPr>
          <w:rFonts w:hint="eastAsia" w:ascii="楷体" w:hAnsi="楷体" w:eastAsia="楷体" w:cs="楷体"/>
          <w:color w:val="auto"/>
          <w:highlight w:val="none"/>
          <w:lang w:val="en-US" w:eastAsia="zh-CN"/>
        </w:rPr>
      </w:pPr>
    </w:p>
    <w:p>
      <w:pPr>
        <w:pStyle w:val="20"/>
        <w:pageBreakBefore w:val="0"/>
        <w:tabs>
          <w:tab w:val="left" w:pos="5580"/>
        </w:tabs>
        <w:kinsoku/>
        <w:wordWrap/>
        <w:overflowPunct/>
        <w:topLinePunct w:val="0"/>
        <w:bidi w:val="0"/>
        <w:snapToGrid w:val="0"/>
        <w:spacing w:before="120" w:line="560" w:lineRule="exact"/>
        <w:ind w:firstLine="240" w:firstLineChars="100"/>
        <w:rPr>
          <w:rFonts w:hint="eastAsia" w:ascii="楷体" w:hAnsi="楷体" w:eastAsia="楷体" w:cs="楷体"/>
          <w:color w:val="auto"/>
          <w:sz w:val="24"/>
          <w:szCs w:val="24"/>
          <w:highlight w:val="none"/>
        </w:rPr>
      </w:pPr>
    </w:p>
    <w:p>
      <w:pPr>
        <w:pStyle w:val="20"/>
        <w:pageBreakBefore w:val="0"/>
        <w:tabs>
          <w:tab w:val="left" w:pos="5580"/>
        </w:tabs>
        <w:kinsoku/>
        <w:wordWrap/>
        <w:overflowPunct/>
        <w:topLinePunct w:val="0"/>
        <w:bidi w:val="0"/>
        <w:snapToGrid w:val="0"/>
        <w:spacing w:before="120" w:line="560" w:lineRule="exact"/>
        <w:ind w:firstLine="240" w:firstLineChars="1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供应商名称（盖公章）：</w:t>
      </w:r>
    </w:p>
    <w:p>
      <w:pPr>
        <w:pageBreakBefore w:val="0"/>
        <w:kinsoku/>
        <w:wordWrap/>
        <w:overflowPunct/>
        <w:topLinePunct w:val="0"/>
        <w:bidi w:val="0"/>
        <w:snapToGrid w:val="0"/>
        <w:spacing w:line="560" w:lineRule="exact"/>
        <w:ind w:firstLine="240" w:firstLineChars="100"/>
        <w:rPr>
          <w:rFonts w:hint="eastAsia" w:ascii="楷体" w:hAnsi="楷体" w:eastAsia="楷体" w:cs="楷体"/>
          <w:color w:val="auto"/>
          <w:sz w:val="24"/>
          <w:szCs w:val="24"/>
          <w:highlight w:val="none"/>
        </w:rPr>
      </w:pPr>
      <w:r>
        <w:rPr>
          <w:rFonts w:hint="eastAsia" w:ascii="楷体" w:hAnsi="楷体" w:eastAsia="楷体" w:cs="楷体"/>
          <w:color w:val="auto"/>
          <w:kern w:val="2"/>
          <w:sz w:val="24"/>
          <w:szCs w:val="24"/>
          <w:highlight w:val="none"/>
        </w:rPr>
        <w:t>法定代表人或其委托代理人</w:t>
      </w:r>
      <w:r>
        <w:rPr>
          <w:rFonts w:hint="eastAsia" w:ascii="楷体" w:hAnsi="楷体" w:eastAsia="楷体" w:cs="楷体"/>
          <w:color w:val="auto"/>
          <w:sz w:val="24"/>
          <w:szCs w:val="24"/>
          <w:highlight w:val="none"/>
        </w:rPr>
        <w:t>（签章或签字）：</w:t>
      </w:r>
    </w:p>
    <w:p>
      <w:pPr>
        <w:bidi w:val="0"/>
        <w:rPr>
          <w:rFonts w:hint="eastAsia"/>
        </w:rPr>
      </w:pPr>
      <w:r>
        <w:rPr>
          <w:rFonts w:hint="eastAsia"/>
        </w:rPr>
        <w:t xml:space="preserve">                       </w:t>
      </w:r>
    </w:p>
    <w:p>
      <w:pPr>
        <w:pageBreakBefore w:val="0"/>
        <w:kinsoku/>
        <w:bidi w:val="0"/>
        <w:spacing w:line="360" w:lineRule="auto"/>
        <w:ind w:right="0" w:rightChars="0" w:firstLine="240" w:firstLineChars="10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tabs>
          <w:tab w:val="left" w:pos="11534"/>
        </w:tabs>
        <w:bidi w:val="0"/>
        <w:jc w:val="left"/>
        <w:rPr>
          <w:rFonts w:hint="eastAsia" w:ascii="楷体" w:hAnsi="楷体" w:eastAsia="楷体" w:cs="楷体"/>
          <w:color w:val="auto"/>
          <w:highlight w:val="none"/>
          <w:lang w:val="en-US" w:eastAsia="zh-CN"/>
        </w:rPr>
        <w:sectPr>
          <w:pgSz w:w="16838" w:h="11906" w:orient="landscape"/>
          <w:pgMar w:top="1803" w:right="1440" w:bottom="1803" w:left="1440" w:header="851" w:footer="992" w:gutter="0"/>
          <w:cols w:space="0" w:num="1"/>
          <w:rtlGutter w:val="0"/>
          <w:docGrid w:type="lines" w:linePitch="319" w:charSpace="0"/>
        </w:sectPr>
      </w:pPr>
    </w:p>
    <w:p>
      <w:pPr>
        <w:pStyle w:val="5"/>
        <w:pageBreakBefore w:val="0"/>
        <w:numPr>
          <w:ilvl w:val="0"/>
          <w:numId w:val="0"/>
        </w:numPr>
        <w:kinsoku/>
        <w:wordWrap/>
        <w:overflowPunct/>
        <w:topLinePunct w:val="0"/>
        <w:bidi w:val="0"/>
        <w:snapToGrid w:val="0"/>
        <w:spacing w:line="560" w:lineRule="exact"/>
        <w:jc w:val="center"/>
        <w:outlineLvl w:val="0"/>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六、</w:t>
      </w:r>
      <w:r>
        <w:rPr>
          <w:rFonts w:hint="eastAsia" w:ascii="楷体" w:hAnsi="楷体" w:eastAsia="楷体" w:cs="楷体"/>
          <w:color w:val="auto"/>
          <w:highlight w:val="none"/>
        </w:rPr>
        <w:t>资格审查</w:t>
      </w:r>
      <w:r>
        <w:rPr>
          <w:rFonts w:hint="eastAsia" w:ascii="楷体" w:hAnsi="楷体" w:eastAsia="楷体" w:cs="楷体"/>
          <w:color w:val="auto"/>
          <w:highlight w:val="none"/>
          <w:lang w:eastAsia="zh-CN"/>
        </w:rPr>
        <w:t>及相关</w:t>
      </w:r>
      <w:r>
        <w:rPr>
          <w:rFonts w:hint="eastAsia" w:ascii="楷体" w:hAnsi="楷体" w:eastAsia="楷体" w:cs="楷体"/>
          <w:color w:val="auto"/>
          <w:highlight w:val="none"/>
        </w:rPr>
        <w:t>资料</w:t>
      </w:r>
      <w:bookmarkEnd w:id="189"/>
      <w:bookmarkEnd w:id="190"/>
      <w:bookmarkEnd w:id="191"/>
      <w:bookmarkStart w:id="192" w:name="_Toc53945753"/>
    </w:p>
    <w:bookmarkEnd w:id="192"/>
    <w:p>
      <w:pPr>
        <w:pStyle w:val="5"/>
        <w:jc w:val="center"/>
        <w:rPr>
          <w:rFonts w:hint="eastAsia" w:ascii="楷体" w:hAnsi="楷体" w:eastAsia="楷体" w:cs="楷体"/>
          <w:color w:val="auto"/>
          <w:highlight w:val="none"/>
        </w:rPr>
      </w:pPr>
      <w:bookmarkStart w:id="193" w:name="_Toc53945741"/>
      <w:bookmarkStart w:id="194" w:name="_Toc53945755"/>
      <w:r>
        <w:rPr>
          <w:rFonts w:hint="eastAsia" w:ascii="楷体" w:hAnsi="楷体" w:eastAsia="楷体" w:cs="楷体"/>
          <w:color w:val="auto"/>
          <w:highlight w:val="none"/>
        </w:rPr>
        <w:t>基本情况</w:t>
      </w:r>
      <w:bookmarkEnd w:id="193"/>
    </w:p>
    <w:p>
      <w:pPr>
        <w:keepNext w:val="0"/>
        <w:keepLines w:val="0"/>
        <w:pageBreakBefore w:val="0"/>
        <w:widowControl w:val="0"/>
        <w:kinsoku/>
        <w:wordWrap/>
        <w:overflowPunct/>
        <w:topLinePunct w:val="0"/>
        <w:bidi w:val="0"/>
        <w:adjustRightInd/>
        <w:snapToGrid w:val="0"/>
        <w:spacing w:line="560" w:lineRule="exac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1、营业执照</w:t>
      </w:r>
    </w:p>
    <w:p>
      <w:pPr>
        <w:keepNext w:val="0"/>
        <w:keepLines w:val="0"/>
        <w:pageBreakBefore w:val="0"/>
        <w:widowControl w:val="0"/>
        <w:kinsoku/>
        <w:overflowPunct/>
        <w:topLinePunct w:val="0"/>
        <w:bidi w:val="0"/>
        <w:adjustRightInd/>
        <w:snapToGrid w:val="0"/>
        <w:spacing w:line="560" w:lineRule="exac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2、承诺书（格式供参考）</w:t>
      </w:r>
    </w:p>
    <w:p>
      <w:pPr>
        <w:pStyle w:val="37"/>
        <w:keepNext w:val="0"/>
        <w:keepLines w:val="0"/>
        <w:pageBreakBefore w:val="0"/>
        <w:widowControl w:val="0"/>
        <w:kinsoku/>
        <w:overflowPunct/>
        <w:topLinePunct w:val="0"/>
        <w:bidi w:val="0"/>
        <w:adjustRightInd/>
        <w:snapToGrid w:val="0"/>
        <w:spacing w:line="560" w:lineRule="exact"/>
        <w:textAlignment w:val="auto"/>
        <w:rPr>
          <w:rFonts w:hint="eastAsia" w:ascii="楷体" w:hAnsi="楷体" w:eastAsia="楷体" w:cs="楷体"/>
          <w:color w:val="auto"/>
          <w:sz w:val="24"/>
          <w:szCs w:val="24"/>
          <w:highlight w:val="none"/>
          <w:lang w:val="en-US"/>
        </w:rPr>
      </w:pPr>
    </w:p>
    <w:p>
      <w:pPr>
        <w:keepNext w:val="0"/>
        <w:keepLines w:val="0"/>
        <w:pageBreakBefore w:val="0"/>
        <w:widowControl w:val="0"/>
        <w:kinsoku/>
        <w:overflowPunct/>
        <w:topLinePunct w:val="0"/>
        <w:bidi w:val="0"/>
        <w:adjustRightInd/>
        <w:snapToGrid w:val="0"/>
        <w:spacing w:line="560" w:lineRule="exac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u w:val="single"/>
          <w:lang w:val="en-US" w:eastAsia="zh-CN"/>
        </w:rPr>
        <w:t xml:space="preserve">            （采购人）</w:t>
      </w:r>
      <w:r>
        <w:rPr>
          <w:rFonts w:hint="eastAsia" w:ascii="楷体" w:hAnsi="楷体" w:eastAsia="楷体" w:cs="楷体"/>
          <w:color w:val="auto"/>
          <w:sz w:val="24"/>
          <w:szCs w:val="24"/>
          <w:highlight w:val="none"/>
          <w:lang w:val="en-US" w:eastAsia="zh-CN"/>
        </w:rPr>
        <w:t>：</w:t>
      </w:r>
    </w:p>
    <w:p>
      <w:pPr>
        <w:keepNext w:val="0"/>
        <w:keepLines w:val="0"/>
        <w:pageBreakBefore w:val="0"/>
        <w:widowControl w:val="0"/>
        <w:kinsoku/>
        <w:overflowPunct/>
        <w:topLinePunct w:val="0"/>
        <w:bidi w:val="0"/>
        <w:adjustRightInd/>
        <w:snapToGrid w:val="0"/>
        <w:spacing w:line="560" w:lineRule="exact"/>
        <w:textAlignment w:val="auto"/>
        <w:rPr>
          <w:rFonts w:hint="eastAsia" w:ascii="楷体" w:hAnsi="楷体" w:eastAsia="楷体" w:cs="楷体"/>
          <w:color w:val="auto"/>
          <w:sz w:val="24"/>
          <w:szCs w:val="24"/>
          <w:highlight w:val="none"/>
          <w:lang w:val="en-US" w:eastAsia="zh-CN"/>
        </w:rPr>
      </w:pPr>
    </w:p>
    <w:p>
      <w:pPr>
        <w:keepNext w:val="0"/>
        <w:keepLines w:val="0"/>
        <w:pageBreakBefore w:val="0"/>
        <w:widowControl w:val="0"/>
        <w:kinsoku/>
        <w:overflowPunct/>
        <w:topLinePunct w:val="0"/>
        <w:bidi w:val="0"/>
        <w:adjustRightInd/>
        <w:snapToGrid w:val="0"/>
        <w:spacing w:line="560" w:lineRule="exact"/>
        <w:textAlignment w:val="auto"/>
        <w:rPr>
          <w:rFonts w:hint="eastAsia" w:ascii="楷体" w:hAnsi="楷体" w:eastAsia="楷体" w:cs="楷体"/>
          <w:color w:val="auto"/>
          <w:sz w:val="24"/>
          <w:szCs w:val="24"/>
          <w:highlight w:val="none"/>
          <w:u w:val="none"/>
          <w:lang w:val="en-US" w:eastAsia="zh-CN"/>
        </w:rPr>
      </w:pPr>
      <w:r>
        <w:rPr>
          <w:rFonts w:hint="eastAsia" w:ascii="楷体" w:hAnsi="楷体" w:eastAsia="楷体" w:cs="楷体"/>
          <w:color w:val="auto"/>
          <w:sz w:val="24"/>
          <w:szCs w:val="24"/>
          <w:highlight w:val="none"/>
          <w:lang w:val="en-US" w:eastAsia="zh-CN"/>
        </w:rPr>
        <w:t xml:space="preserve">     我单位参加</w:t>
      </w:r>
      <w:r>
        <w:rPr>
          <w:rFonts w:hint="eastAsia" w:ascii="楷体" w:hAnsi="楷体" w:eastAsia="楷体" w:cs="楷体"/>
          <w:color w:val="auto"/>
          <w:sz w:val="24"/>
          <w:szCs w:val="24"/>
          <w:highlight w:val="none"/>
          <w:u w:val="single"/>
          <w:lang w:val="en-US" w:eastAsia="zh-CN"/>
        </w:rPr>
        <w:t xml:space="preserve">        （项目名称）            </w:t>
      </w:r>
      <w:r>
        <w:rPr>
          <w:rFonts w:hint="eastAsia" w:ascii="楷体" w:hAnsi="楷体" w:eastAsia="楷体" w:cs="楷体"/>
          <w:color w:val="auto"/>
          <w:sz w:val="24"/>
          <w:szCs w:val="24"/>
          <w:highlight w:val="none"/>
          <w:u w:val="none"/>
          <w:lang w:val="en-US" w:eastAsia="zh-CN"/>
        </w:rPr>
        <w:t>采购活动，现作如下承诺：</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不存在</w:t>
      </w:r>
      <w:r>
        <w:rPr>
          <w:rFonts w:hint="eastAsia" w:ascii="楷体" w:hAnsi="楷体" w:eastAsia="楷体" w:cs="楷体"/>
          <w:color w:val="auto"/>
          <w:sz w:val="24"/>
          <w:szCs w:val="24"/>
          <w:highlight w:val="none"/>
        </w:rPr>
        <w:t>处于被责令停产停业、暂扣或者吊销执照、暂扣或者吊销许可证、吊销资质证书状态；</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不存在</w:t>
      </w:r>
      <w:r>
        <w:rPr>
          <w:rFonts w:hint="eastAsia" w:ascii="楷体" w:hAnsi="楷体" w:eastAsia="楷体" w:cs="楷体"/>
          <w:color w:val="auto"/>
          <w:sz w:val="24"/>
          <w:szCs w:val="24"/>
          <w:highlight w:val="none"/>
        </w:rPr>
        <w:t>进入清算程序，或被宣告破产，或其他丧失履约能力的情形；</w:t>
      </w:r>
    </w:p>
    <w:p>
      <w:pPr>
        <w:keepNext w:val="0"/>
        <w:keepLines w:val="0"/>
        <w:pageBreakBefore w:val="0"/>
        <w:widowControl w:val="0"/>
        <w:kinsoku/>
        <w:overflowPunct/>
        <w:topLinePunct w:val="0"/>
        <w:bidi w:val="0"/>
        <w:adjustRightInd/>
        <w:snapToGrid w:val="0"/>
        <w:spacing w:line="560" w:lineRule="exact"/>
        <w:ind w:firstLine="480" w:firstLineChars="200"/>
        <w:textAlignment w:val="auto"/>
        <w:rPr>
          <w:rFonts w:hint="eastAsia" w:ascii="楷体" w:hAnsi="楷体" w:eastAsia="楷体" w:cs="楷体"/>
          <w:color w:val="auto"/>
          <w:sz w:val="24"/>
          <w:szCs w:val="24"/>
          <w:highlight w:val="none"/>
          <w:u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不存在</w:t>
      </w:r>
      <w:r>
        <w:rPr>
          <w:rFonts w:hint="eastAsia" w:ascii="楷体" w:hAnsi="楷体" w:eastAsia="楷体" w:cs="楷体"/>
          <w:color w:val="auto"/>
          <w:sz w:val="24"/>
          <w:szCs w:val="24"/>
          <w:highlight w:val="none"/>
          <w:u w:val="none"/>
        </w:rPr>
        <w:t>单位负责人为同一人或者存在直接控股、管理关系的不同供应商，不得参加同一合同项下的招投标活动。</w:t>
      </w:r>
    </w:p>
    <w:p>
      <w:pPr>
        <w:keepNext w:val="0"/>
        <w:keepLines w:val="0"/>
        <w:pageBreakBefore w:val="0"/>
        <w:widowControl w:val="0"/>
        <w:kinsoku/>
        <w:overflowPunct/>
        <w:topLinePunct w:val="0"/>
        <w:bidi w:val="0"/>
        <w:adjustRightInd/>
        <w:snapToGrid w:val="0"/>
        <w:spacing w:line="560" w:lineRule="exact"/>
        <w:ind w:firstLine="480" w:firstLineChars="200"/>
        <w:textAlignment w:val="auto"/>
        <w:rPr>
          <w:rFonts w:hint="eastAsia" w:ascii="楷体" w:hAnsi="楷体" w:eastAsia="楷体" w:cs="楷体"/>
          <w:color w:val="auto"/>
          <w:sz w:val="24"/>
          <w:szCs w:val="24"/>
          <w:highlight w:val="none"/>
          <w:u w:val="none"/>
        </w:rPr>
      </w:pPr>
      <w:r>
        <w:rPr>
          <w:rFonts w:hint="eastAsia" w:ascii="楷体" w:hAnsi="楷体" w:eastAsia="楷体" w:cs="楷体"/>
          <w:color w:val="auto"/>
          <w:sz w:val="24"/>
          <w:szCs w:val="24"/>
          <w:highlight w:val="none"/>
          <w:u w:val="none"/>
          <w:lang w:eastAsia="zh-CN"/>
        </w:rPr>
        <w:t>（</w:t>
      </w:r>
      <w:r>
        <w:rPr>
          <w:rFonts w:hint="eastAsia" w:ascii="楷体" w:hAnsi="楷体" w:eastAsia="楷体" w:cs="楷体"/>
          <w:color w:val="auto"/>
          <w:sz w:val="24"/>
          <w:szCs w:val="24"/>
          <w:highlight w:val="none"/>
          <w:u w:val="none"/>
          <w:lang w:val="en-US" w:eastAsia="zh-CN"/>
        </w:rPr>
        <w:t>4</w:t>
      </w:r>
      <w:r>
        <w:rPr>
          <w:rFonts w:hint="eastAsia" w:ascii="楷体" w:hAnsi="楷体" w:eastAsia="楷体" w:cs="楷体"/>
          <w:color w:val="auto"/>
          <w:sz w:val="24"/>
          <w:szCs w:val="24"/>
          <w:highlight w:val="none"/>
          <w:u w:val="none"/>
          <w:lang w:eastAsia="zh-CN"/>
        </w:rPr>
        <w:t>）</w:t>
      </w:r>
      <w:r>
        <w:rPr>
          <w:rFonts w:hint="eastAsia" w:ascii="楷体" w:hAnsi="楷体" w:eastAsia="楷体" w:cs="楷体"/>
          <w:color w:val="auto"/>
          <w:sz w:val="24"/>
          <w:szCs w:val="24"/>
          <w:highlight w:val="none"/>
          <w:u w:val="none"/>
          <w:lang w:val="en-US" w:eastAsia="zh-CN"/>
        </w:rPr>
        <w:t>不存在</w:t>
      </w:r>
      <w:r>
        <w:rPr>
          <w:rFonts w:hint="eastAsia" w:ascii="楷体" w:hAnsi="楷体" w:eastAsia="楷体" w:cs="楷体"/>
          <w:color w:val="auto"/>
          <w:sz w:val="24"/>
          <w:szCs w:val="24"/>
          <w:highlight w:val="none"/>
          <w:u w:val="none"/>
        </w:rPr>
        <w:t xml:space="preserve">与采购人存在利害关系可能影响招标公正性的法人、其他组织或者个人，参加投标。 </w:t>
      </w:r>
    </w:p>
    <w:p>
      <w:pPr>
        <w:keepNext w:val="0"/>
        <w:keepLines w:val="0"/>
        <w:pageBreakBefore w:val="0"/>
        <w:widowControl w:val="0"/>
        <w:kinsoku/>
        <w:overflowPunct/>
        <w:topLinePunct w:val="0"/>
        <w:bidi w:val="0"/>
        <w:adjustRightInd/>
        <w:snapToGrid w:val="0"/>
        <w:spacing w:line="560" w:lineRule="exact"/>
        <w:textAlignment w:val="auto"/>
        <w:rPr>
          <w:rFonts w:hint="eastAsia" w:ascii="楷体" w:hAnsi="楷体" w:eastAsia="楷体" w:cs="楷体"/>
          <w:color w:val="auto"/>
          <w:sz w:val="24"/>
          <w:szCs w:val="24"/>
          <w:highlight w:val="none"/>
        </w:rPr>
      </w:pPr>
    </w:p>
    <w:p>
      <w:pPr>
        <w:keepNext w:val="0"/>
        <w:keepLines w:val="0"/>
        <w:pageBreakBefore w:val="0"/>
        <w:widowControl w:val="0"/>
        <w:kinsoku/>
        <w:overflowPunct/>
        <w:topLinePunct w:val="0"/>
        <w:bidi w:val="0"/>
        <w:adjustRightInd/>
        <w:snapToGrid w:val="0"/>
        <w:spacing w:line="560" w:lineRule="exact"/>
        <w:textAlignment w:val="auto"/>
        <w:rPr>
          <w:rFonts w:hint="eastAsia" w:ascii="楷体" w:hAnsi="楷体" w:eastAsia="楷体" w:cs="楷体"/>
          <w:color w:val="auto"/>
          <w:sz w:val="24"/>
          <w:szCs w:val="24"/>
          <w:highlight w:val="none"/>
        </w:rPr>
      </w:pPr>
    </w:p>
    <w:p>
      <w:pPr>
        <w:keepNext w:val="0"/>
        <w:keepLines w:val="0"/>
        <w:pageBreakBefore w:val="0"/>
        <w:widowControl w:val="0"/>
        <w:kinsoku/>
        <w:wordWrap w:val="0"/>
        <w:overflowPunct/>
        <w:topLinePunct w:val="0"/>
        <w:bidi w:val="0"/>
        <w:adjustRightInd/>
        <w:snapToGrid w:val="0"/>
        <w:spacing w:line="560" w:lineRule="exact"/>
        <w:jc w:val="righ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单位名称：          （加盖单位公章）</w:t>
      </w:r>
    </w:p>
    <w:p>
      <w:pPr>
        <w:keepNext w:val="0"/>
        <w:keepLines w:val="0"/>
        <w:pageBreakBefore w:val="0"/>
        <w:widowControl w:val="0"/>
        <w:kinsoku/>
        <w:overflowPunct/>
        <w:topLinePunct w:val="0"/>
        <w:bidi w:val="0"/>
        <w:adjustRightInd/>
        <w:snapToGrid w:val="0"/>
        <w:spacing w:line="560" w:lineRule="exact"/>
        <w:jc w:val="right"/>
        <w:textAlignment w:val="auto"/>
        <w:rPr>
          <w:rFonts w:hint="eastAsia" w:ascii="楷体" w:hAnsi="楷体" w:eastAsia="楷体" w:cs="楷体"/>
          <w:color w:val="auto"/>
          <w:sz w:val="24"/>
          <w:szCs w:val="24"/>
          <w:highlight w:val="none"/>
          <w:lang w:val="en-US" w:eastAsia="zh-CN"/>
        </w:rPr>
      </w:pPr>
    </w:p>
    <w:p>
      <w:pPr>
        <w:pageBreakBefore w:val="0"/>
        <w:kinsoku/>
        <w:bidi w:val="0"/>
        <w:spacing w:line="360" w:lineRule="auto"/>
        <w:ind w:left="0" w:leftChars="0" w:right="0" w:rightChars="0" w:firstLine="4080" w:firstLineChars="1700"/>
        <w:outlineLvl w:val="9"/>
        <w:rPr>
          <w:rFonts w:hint="eastAsia" w:ascii="楷体" w:hAnsi="楷体" w:eastAsia="楷体" w:cs="楷体"/>
          <w:b w:val="0"/>
          <w:bCs/>
          <w:color w:val="auto"/>
          <w:sz w:val="24"/>
          <w:highlight w:val="none"/>
        </w:rPr>
      </w:pPr>
      <w:r>
        <w:rPr>
          <w:rFonts w:hint="eastAsia" w:ascii="楷体" w:hAnsi="楷体" w:eastAsia="楷体" w:cs="楷体"/>
          <w:b w:val="0"/>
          <w:bCs/>
          <w:color w:val="auto"/>
          <w:sz w:val="24"/>
          <w:highlight w:val="none"/>
        </w:rPr>
        <w:t>日</w:t>
      </w:r>
      <w:r>
        <w:rPr>
          <w:rFonts w:hint="default" w:ascii="楷体" w:hAnsi="楷体" w:eastAsia="楷体" w:cs="楷体"/>
          <w:b w:val="0"/>
          <w:bCs/>
          <w:color w:val="auto"/>
          <w:sz w:val="24"/>
          <w:highlight w:val="none"/>
        </w:rPr>
        <w:t xml:space="preserve">    </w:t>
      </w:r>
      <w:r>
        <w:rPr>
          <w:rFonts w:hint="eastAsia" w:ascii="楷体" w:hAnsi="楷体" w:eastAsia="楷体" w:cs="楷体"/>
          <w:b w:val="0"/>
          <w:bCs/>
          <w:color w:val="auto"/>
          <w:sz w:val="24"/>
          <w:highlight w:val="none"/>
        </w:rPr>
        <w:t>期：</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年</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月</w:t>
      </w:r>
      <w:r>
        <w:rPr>
          <w:rFonts w:hint="eastAsia" w:ascii="楷体" w:hAnsi="楷体" w:eastAsia="楷体" w:cs="楷体"/>
          <w:b w:val="0"/>
          <w:bCs/>
          <w:color w:val="auto"/>
          <w:sz w:val="24"/>
          <w:highlight w:val="none"/>
          <w:u w:val="single"/>
        </w:rPr>
        <w:t xml:space="preserve">      </w:t>
      </w:r>
      <w:r>
        <w:rPr>
          <w:rFonts w:hint="eastAsia" w:ascii="楷体" w:hAnsi="楷体" w:eastAsia="楷体" w:cs="楷体"/>
          <w:b w:val="0"/>
          <w:bCs/>
          <w:color w:val="auto"/>
          <w:sz w:val="24"/>
          <w:highlight w:val="none"/>
        </w:rPr>
        <w:t>日</w:t>
      </w:r>
    </w:p>
    <w:p>
      <w:pPr>
        <w:keepNext w:val="0"/>
        <w:keepLines w:val="0"/>
        <w:pageBreakBefore w:val="0"/>
        <w:widowControl w:val="0"/>
        <w:kinsoku/>
        <w:overflowPunct/>
        <w:topLinePunct w:val="0"/>
        <w:bidi w:val="0"/>
        <w:adjustRightInd/>
        <w:snapToGrid w:val="0"/>
        <w:spacing w:line="560" w:lineRule="exact"/>
        <w:jc w:val="both"/>
        <w:textAlignment w:val="auto"/>
        <w:rPr>
          <w:rFonts w:hint="eastAsia" w:ascii="楷体" w:hAnsi="楷体" w:eastAsia="楷体" w:cs="楷体"/>
          <w:color w:val="auto"/>
          <w:highlight w:val="none"/>
        </w:rPr>
      </w:pPr>
      <w:r>
        <w:rPr>
          <w:rFonts w:hint="eastAsia" w:ascii="楷体" w:hAnsi="楷体" w:eastAsia="楷体" w:cs="楷体"/>
          <w:color w:val="auto"/>
          <w:sz w:val="24"/>
          <w:szCs w:val="24"/>
          <w:highlight w:val="none"/>
          <w:lang w:val="en-US" w:eastAsia="zh-CN"/>
        </w:rPr>
        <w:t>3、供应商提供的其他资料</w:t>
      </w:r>
      <w:r>
        <w:rPr>
          <w:rFonts w:hint="eastAsia" w:ascii="楷体" w:hAnsi="楷体" w:eastAsia="楷体" w:cs="楷体"/>
          <w:color w:val="auto"/>
          <w:highlight w:val="none"/>
        </w:rPr>
        <w:br w:type="page"/>
      </w:r>
    </w:p>
    <w:bookmarkEnd w:id="194"/>
    <w:p>
      <w:pPr>
        <w:pStyle w:val="4"/>
        <w:pageBreakBefore w:val="0"/>
        <w:kinsoku/>
        <w:wordWrap/>
        <w:overflowPunct/>
        <w:topLinePunct w:val="0"/>
        <w:bidi w:val="0"/>
        <w:snapToGrid w:val="0"/>
        <w:spacing w:before="156" w:after="156" w:line="560" w:lineRule="exact"/>
        <w:jc w:val="center"/>
        <w:outlineLvl w:val="0"/>
        <w:rPr>
          <w:rFonts w:hint="eastAsia" w:ascii="楷体" w:hAnsi="楷体" w:eastAsia="楷体" w:cs="楷体"/>
          <w:color w:val="auto"/>
          <w:highlight w:val="none"/>
          <w:lang w:eastAsia="zh-CN"/>
        </w:rPr>
      </w:pPr>
      <w:bookmarkStart w:id="195" w:name="_Toc8108"/>
      <w:bookmarkStart w:id="196" w:name="_Toc32214"/>
      <w:r>
        <w:rPr>
          <w:rFonts w:hint="eastAsia" w:ascii="楷体" w:hAnsi="楷体" w:eastAsia="楷体" w:cs="楷体"/>
          <w:color w:val="auto"/>
          <w:highlight w:val="none"/>
          <w:lang w:val="en-US" w:eastAsia="zh-CN"/>
        </w:rPr>
        <w:t>七、</w:t>
      </w:r>
      <w:r>
        <w:rPr>
          <w:rFonts w:hint="eastAsia" w:ascii="楷体" w:hAnsi="楷体" w:eastAsia="楷体" w:cs="楷体"/>
          <w:color w:val="auto"/>
          <w:highlight w:val="none"/>
          <w:lang w:eastAsia="zh-CN"/>
        </w:rPr>
        <w:t>实施方案</w:t>
      </w:r>
      <w:bookmarkEnd w:id="195"/>
      <w:bookmarkEnd w:id="196"/>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实施方案一般包括(但不限于）下列内容：</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bookmarkStart w:id="197" w:name="_Toc53945763"/>
      <w:r>
        <w:rPr>
          <w:rFonts w:hint="eastAsia" w:ascii="楷体" w:hAnsi="楷体" w:eastAsia="楷体" w:cs="楷体"/>
          <w:color w:val="auto"/>
          <w:sz w:val="24"/>
          <w:highlight w:val="none"/>
          <w:lang w:val="en-US" w:eastAsia="zh-CN"/>
        </w:rPr>
        <w:t>1、总体设计</w:t>
      </w:r>
    </w:p>
    <w:p>
      <w:pPr>
        <w:pageBreakBefore w:val="0"/>
        <w:kinsoku/>
        <w:wordWrap/>
        <w:overflowPunct/>
        <w:topLinePunct w:val="0"/>
        <w:bidi w:val="0"/>
        <w:snapToGrid w:val="0"/>
        <w:spacing w:line="560" w:lineRule="exact"/>
        <w:ind w:firstLine="480" w:firstLineChars="200"/>
        <w:rPr>
          <w:rFonts w:hint="default"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2、实施方案</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3、售后服务方案</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4、培训计划</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highlight w:val="none"/>
          <w:lang w:val="en-US" w:eastAsia="zh-CN"/>
        </w:rPr>
      </w:pPr>
      <w:r>
        <w:rPr>
          <w:rFonts w:hint="eastAsia" w:ascii="楷体" w:hAnsi="楷体" w:eastAsia="楷体" w:cs="楷体"/>
          <w:color w:val="auto"/>
          <w:sz w:val="24"/>
          <w:highlight w:val="none"/>
          <w:lang w:val="en-US" w:eastAsia="zh-CN"/>
        </w:rPr>
        <w:t>5、项目质量保障</w:t>
      </w:r>
      <w:r>
        <w:rPr>
          <w:rFonts w:hint="eastAsia" w:ascii="楷体" w:hAnsi="楷体" w:eastAsia="楷体" w:cs="楷体"/>
          <w:color w:val="auto"/>
          <w:highlight w:val="none"/>
          <w:lang w:val="en-US" w:eastAsia="zh-CN"/>
        </w:rPr>
        <w:br w:type="page"/>
      </w:r>
    </w:p>
    <w:p>
      <w:pPr>
        <w:pStyle w:val="4"/>
        <w:pageBreakBefore w:val="0"/>
        <w:kinsoku/>
        <w:wordWrap/>
        <w:overflowPunct/>
        <w:topLinePunct w:val="0"/>
        <w:bidi w:val="0"/>
        <w:snapToGrid w:val="0"/>
        <w:spacing w:before="156" w:after="156" w:line="560" w:lineRule="exact"/>
        <w:ind w:firstLine="321" w:firstLineChars="100"/>
        <w:jc w:val="center"/>
        <w:outlineLvl w:val="0"/>
        <w:rPr>
          <w:rFonts w:hint="eastAsia" w:ascii="楷体" w:hAnsi="楷体" w:eastAsia="楷体" w:cs="楷体"/>
          <w:color w:val="auto"/>
          <w:highlight w:val="none"/>
          <w:lang w:eastAsia="zh-CN"/>
        </w:rPr>
      </w:pPr>
      <w:bookmarkStart w:id="198" w:name="_Toc29767"/>
      <w:bookmarkStart w:id="199" w:name="_Toc13823"/>
      <w:r>
        <w:rPr>
          <w:rFonts w:hint="eastAsia" w:ascii="楷体" w:hAnsi="楷体" w:eastAsia="楷体" w:cs="楷体"/>
          <w:color w:val="auto"/>
          <w:highlight w:val="none"/>
          <w:lang w:val="en-US" w:eastAsia="zh-CN"/>
        </w:rPr>
        <w:t>八、</w:t>
      </w:r>
      <w:r>
        <w:rPr>
          <w:rFonts w:hint="eastAsia" w:ascii="楷体" w:hAnsi="楷体" w:eastAsia="楷体" w:cs="楷体"/>
          <w:color w:val="auto"/>
          <w:highlight w:val="none"/>
        </w:rPr>
        <w:t>业绩</w:t>
      </w:r>
      <w:r>
        <w:rPr>
          <w:rFonts w:hint="eastAsia" w:ascii="楷体" w:hAnsi="楷体" w:eastAsia="楷体" w:cs="楷体"/>
          <w:color w:val="auto"/>
          <w:highlight w:val="none"/>
          <w:lang w:eastAsia="zh-CN"/>
        </w:rPr>
        <w:t>（</w:t>
      </w:r>
      <w:r>
        <w:rPr>
          <w:rFonts w:hint="eastAsia" w:ascii="楷体" w:hAnsi="楷体" w:eastAsia="楷体" w:cs="楷体"/>
          <w:color w:val="auto"/>
          <w:highlight w:val="none"/>
          <w:lang w:val="en-US" w:eastAsia="zh-CN"/>
        </w:rPr>
        <w:t>2019年1月至投标截止时间，如有</w:t>
      </w:r>
      <w:r>
        <w:rPr>
          <w:rFonts w:hint="eastAsia" w:ascii="楷体" w:hAnsi="楷体" w:eastAsia="楷体" w:cs="楷体"/>
          <w:color w:val="auto"/>
          <w:highlight w:val="none"/>
          <w:lang w:eastAsia="zh-CN"/>
        </w:rPr>
        <w:t>）</w:t>
      </w:r>
    </w:p>
    <w:tbl>
      <w:tblPr>
        <w:tblStyle w:val="32"/>
        <w:tblW w:w="8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969"/>
        <w:gridCol w:w="1419"/>
        <w:gridCol w:w="1419"/>
        <w:gridCol w:w="1821"/>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hint="eastAsia" w:ascii="楷体" w:hAnsi="楷体" w:eastAsia="楷体" w:cs="楷体"/>
                <w:color w:val="auto"/>
                <w:highlight w:val="none"/>
                <w:vertAlign w:val="baseline"/>
                <w:lang w:val="en-US" w:eastAsia="zh-CN"/>
              </w:rPr>
            </w:pPr>
            <w:r>
              <w:rPr>
                <w:rFonts w:hint="eastAsia" w:ascii="楷体" w:hAnsi="楷体" w:eastAsia="楷体" w:cs="楷体"/>
                <w:color w:val="auto"/>
                <w:highlight w:val="none"/>
                <w:vertAlign w:val="baseline"/>
                <w:lang w:val="en-US" w:eastAsia="zh-CN"/>
              </w:rPr>
              <w:t>序号</w:t>
            </w:r>
          </w:p>
        </w:tc>
        <w:tc>
          <w:tcPr>
            <w:tcW w:w="1969" w:type="dxa"/>
          </w:tcPr>
          <w:p>
            <w:pPr>
              <w:jc w:val="center"/>
              <w:rPr>
                <w:rFonts w:hint="eastAsia" w:ascii="楷体" w:hAnsi="楷体" w:eastAsia="楷体" w:cs="楷体"/>
                <w:color w:val="auto"/>
                <w:highlight w:val="none"/>
                <w:vertAlign w:val="baseline"/>
                <w:lang w:val="en-US" w:eastAsia="zh-CN"/>
              </w:rPr>
            </w:pPr>
            <w:r>
              <w:rPr>
                <w:rFonts w:hint="eastAsia" w:ascii="楷体" w:hAnsi="楷体" w:eastAsia="楷体" w:cs="楷体"/>
                <w:color w:val="auto"/>
                <w:highlight w:val="none"/>
                <w:vertAlign w:val="baseline"/>
                <w:lang w:val="en-US" w:eastAsia="zh-CN"/>
              </w:rPr>
              <w:t>项目名称</w:t>
            </w:r>
          </w:p>
        </w:tc>
        <w:tc>
          <w:tcPr>
            <w:tcW w:w="1419" w:type="dxa"/>
          </w:tcPr>
          <w:p>
            <w:pPr>
              <w:jc w:val="center"/>
              <w:rPr>
                <w:rFonts w:hint="eastAsia" w:ascii="楷体" w:hAnsi="楷体" w:eastAsia="楷体" w:cs="楷体"/>
                <w:color w:val="auto"/>
                <w:highlight w:val="none"/>
                <w:vertAlign w:val="baseline"/>
                <w:lang w:val="en-US" w:eastAsia="zh-CN"/>
              </w:rPr>
            </w:pPr>
            <w:r>
              <w:rPr>
                <w:rFonts w:hint="eastAsia" w:ascii="楷体" w:hAnsi="楷体" w:eastAsia="楷体" w:cs="楷体"/>
                <w:color w:val="auto"/>
                <w:highlight w:val="none"/>
                <w:vertAlign w:val="baseline"/>
                <w:lang w:val="en-US" w:eastAsia="zh-CN"/>
              </w:rPr>
              <w:t>采购内容</w:t>
            </w:r>
          </w:p>
        </w:tc>
        <w:tc>
          <w:tcPr>
            <w:tcW w:w="1419" w:type="dxa"/>
          </w:tcPr>
          <w:p>
            <w:pPr>
              <w:jc w:val="center"/>
              <w:rPr>
                <w:rFonts w:hint="eastAsia" w:ascii="楷体" w:hAnsi="楷体" w:eastAsia="楷体" w:cs="楷体"/>
                <w:color w:val="auto"/>
                <w:highlight w:val="none"/>
                <w:vertAlign w:val="baseline"/>
                <w:lang w:val="en-US" w:eastAsia="zh-CN"/>
              </w:rPr>
            </w:pPr>
            <w:r>
              <w:rPr>
                <w:rFonts w:hint="eastAsia" w:ascii="楷体" w:hAnsi="楷体" w:eastAsia="楷体" w:cs="楷体"/>
                <w:color w:val="auto"/>
                <w:highlight w:val="none"/>
                <w:vertAlign w:val="baseline"/>
                <w:lang w:val="en-US" w:eastAsia="zh-CN"/>
              </w:rPr>
              <w:t>合同金额</w:t>
            </w:r>
          </w:p>
        </w:tc>
        <w:tc>
          <w:tcPr>
            <w:tcW w:w="1821" w:type="dxa"/>
          </w:tcPr>
          <w:p>
            <w:pPr>
              <w:jc w:val="center"/>
              <w:rPr>
                <w:rFonts w:hint="eastAsia" w:ascii="楷体" w:hAnsi="楷体" w:eastAsia="楷体" w:cs="楷体"/>
                <w:color w:val="auto"/>
                <w:highlight w:val="none"/>
                <w:vertAlign w:val="baseline"/>
                <w:lang w:val="en-US" w:eastAsia="zh-CN"/>
              </w:rPr>
            </w:pPr>
            <w:r>
              <w:rPr>
                <w:rFonts w:hint="eastAsia" w:ascii="楷体" w:hAnsi="楷体" w:eastAsia="楷体" w:cs="楷体"/>
                <w:color w:val="auto"/>
                <w:highlight w:val="none"/>
                <w:vertAlign w:val="baseline"/>
                <w:lang w:val="en-US" w:eastAsia="zh-CN"/>
              </w:rPr>
              <w:t>合同签订日期</w:t>
            </w:r>
          </w:p>
        </w:tc>
        <w:tc>
          <w:tcPr>
            <w:tcW w:w="1358" w:type="dxa"/>
          </w:tcPr>
          <w:p>
            <w:pPr>
              <w:jc w:val="center"/>
              <w:rPr>
                <w:rFonts w:hint="eastAsia" w:ascii="楷体" w:hAnsi="楷体" w:eastAsia="楷体" w:cs="楷体"/>
                <w:color w:val="auto"/>
                <w:highlight w:val="none"/>
                <w:vertAlign w:val="baseline"/>
                <w:lang w:val="en-US" w:eastAsia="zh-CN"/>
              </w:rPr>
            </w:pPr>
            <w:r>
              <w:rPr>
                <w:rFonts w:hint="eastAsia" w:ascii="楷体" w:hAnsi="楷体" w:eastAsia="楷体" w:cs="楷体"/>
                <w:color w:val="auto"/>
                <w:highlight w:val="none"/>
                <w:vertAlign w:val="baseline"/>
                <w:lang w:val="en-US" w:eastAsia="zh-CN"/>
              </w:rPr>
              <w:t>采购人名称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hint="eastAsia" w:ascii="楷体" w:hAnsi="楷体" w:eastAsia="楷体" w:cs="楷体"/>
                <w:color w:val="auto"/>
                <w:highlight w:val="none"/>
                <w:vertAlign w:val="baseline"/>
                <w:lang w:eastAsia="zh-CN"/>
              </w:rPr>
            </w:pPr>
          </w:p>
        </w:tc>
        <w:tc>
          <w:tcPr>
            <w:tcW w:w="196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821" w:type="dxa"/>
          </w:tcPr>
          <w:p>
            <w:pPr>
              <w:jc w:val="center"/>
              <w:rPr>
                <w:rFonts w:hint="eastAsia" w:ascii="楷体" w:hAnsi="楷体" w:eastAsia="楷体" w:cs="楷体"/>
                <w:color w:val="auto"/>
                <w:highlight w:val="none"/>
                <w:vertAlign w:val="baseline"/>
                <w:lang w:eastAsia="zh-CN"/>
              </w:rPr>
            </w:pPr>
          </w:p>
        </w:tc>
        <w:tc>
          <w:tcPr>
            <w:tcW w:w="1358" w:type="dxa"/>
          </w:tcPr>
          <w:p>
            <w:pPr>
              <w:jc w:val="center"/>
              <w:rPr>
                <w:rFonts w:hint="eastAsia" w:ascii="楷体" w:hAnsi="楷体" w:eastAsia="楷体" w:cs="楷体"/>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hint="eastAsia" w:ascii="楷体" w:hAnsi="楷体" w:eastAsia="楷体" w:cs="楷体"/>
                <w:color w:val="auto"/>
                <w:highlight w:val="none"/>
                <w:vertAlign w:val="baseline"/>
                <w:lang w:eastAsia="zh-CN"/>
              </w:rPr>
            </w:pPr>
          </w:p>
        </w:tc>
        <w:tc>
          <w:tcPr>
            <w:tcW w:w="196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821" w:type="dxa"/>
          </w:tcPr>
          <w:p>
            <w:pPr>
              <w:jc w:val="center"/>
              <w:rPr>
                <w:rFonts w:hint="eastAsia" w:ascii="楷体" w:hAnsi="楷体" w:eastAsia="楷体" w:cs="楷体"/>
                <w:color w:val="auto"/>
                <w:highlight w:val="none"/>
                <w:vertAlign w:val="baseline"/>
                <w:lang w:eastAsia="zh-CN"/>
              </w:rPr>
            </w:pPr>
          </w:p>
        </w:tc>
        <w:tc>
          <w:tcPr>
            <w:tcW w:w="1358" w:type="dxa"/>
          </w:tcPr>
          <w:p>
            <w:pPr>
              <w:jc w:val="center"/>
              <w:rPr>
                <w:rFonts w:hint="eastAsia" w:ascii="楷体" w:hAnsi="楷体" w:eastAsia="楷体" w:cs="楷体"/>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hint="eastAsia" w:ascii="楷体" w:hAnsi="楷体" w:eastAsia="楷体" w:cs="楷体"/>
                <w:color w:val="auto"/>
                <w:highlight w:val="none"/>
                <w:vertAlign w:val="baseline"/>
                <w:lang w:eastAsia="zh-CN"/>
              </w:rPr>
            </w:pPr>
          </w:p>
        </w:tc>
        <w:tc>
          <w:tcPr>
            <w:tcW w:w="196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821" w:type="dxa"/>
          </w:tcPr>
          <w:p>
            <w:pPr>
              <w:jc w:val="center"/>
              <w:rPr>
                <w:rFonts w:hint="eastAsia" w:ascii="楷体" w:hAnsi="楷体" w:eastAsia="楷体" w:cs="楷体"/>
                <w:color w:val="auto"/>
                <w:highlight w:val="none"/>
                <w:vertAlign w:val="baseline"/>
                <w:lang w:eastAsia="zh-CN"/>
              </w:rPr>
            </w:pPr>
          </w:p>
        </w:tc>
        <w:tc>
          <w:tcPr>
            <w:tcW w:w="1358" w:type="dxa"/>
          </w:tcPr>
          <w:p>
            <w:pPr>
              <w:jc w:val="center"/>
              <w:rPr>
                <w:rFonts w:hint="eastAsia" w:ascii="楷体" w:hAnsi="楷体" w:eastAsia="楷体" w:cs="楷体"/>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hint="eastAsia" w:ascii="楷体" w:hAnsi="楷体" w:eastAsia="楷体" w:cs="楷体"/>
                <w:color w:val="auto"/>
                <w:highlight w:val="none"/>
                <w:vertAlign w:val="baseline"/>
                <w:lang w:eastAsia="zh-CN"/>
              </w:rPr>
            </w:pPr>
          </w:p>
        </w:tc>
        <w:tc>
          <w:tcPr>
            <w:tcW w:w="196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821" w:type="dxa"/>
          </w:tcPr>
          <w:p>
            <w:pPr>
              <w:jc w:val="center"/>
              <w:rPr>
                <w:rFonts w:hint="eastAsia" w:ascii="楷体" w:hAnsi="楷体" w:eastAsia="楷体" w:cs="楷体"/>
                <w:color w:val="auto"/>
                <w:highlight w:val="none"/>
                <w:vertAlign w:val="baseline"/>
                <w:lang w:eastAsia="zh-CN"/>
              </w:rPr>
            </w:pPr>
          </w:p>
        </w:tc>
        <w:tc>
          <w:tcPr>
            <w:tcW w:w="1358" w:type="dxa"/>
          </w:tcPr>
          <w:p>
            <w:pPr>
              <w:jc w:val="center"/>
              <w:rPr>
                <w:rFonts w:hint="eastAsia" w:ascii="楷体" w:hAnsi="楷体" w:eastAsia="楷体" w:cs="楷体"/>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hint="eastAsia" w:ascii="楷体" w:hAnsi="楷体" w:eastAsia="楷体" w:cs="楷体"/>
                <w:color w:val="auto"/>
                <w:highlight w:val="none"/>
                <w:vertAlign w:val="baseline"/>
                <w:lang w:eastAsia="zh-CN"/>
              </w:rPr>
            </w:pPr>
          </w:p>
        </w:tc>
        <w:tc>
          <w:tcPr>
            <w:tcW w:w="196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821" w:type="dxa"/>
          </w:tcPr>
          <w:p>
            <w:pPr>
              <w:jc w:val="center"/>
              <w:rPr>
                <w:rFonts w:hint="eastAsia" w:ascii="楷体" w:hAnsi="楷体" w:eastAsia="楷体" w:cs="楷体"/>
                <w:color w:val="auto"/>
                <w:highlight w:val="none"/>
                <w:vertAlign w:val="baseline"/>
                <w:lang w:eastAsia="zh-CN"/>
              </w:rPr>
            </w:pPr>
          </w:p>
        </w:tc>
        <w:tc>
          <w:tcPr>
            <w:tcW w:w="1358" w:type="dxa"/>
          </w:tcPr>
          <w:p>
            <w:pPr>
              <w:jc w:val="center"/>
              <w:rPr>
                <w:rFonts w:hint="eastAsia" w:ascii="楷体" w:hAnsi="楷体" w:eastAsia="楷体" w:cs="楷体"/>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hint="eastAsia" w:ascii="楷体" w:hAnsi="楷体" w:eastAsia="楷体" w:cs="楷体"/>
                <w:color w:val="auto"/>
                <w:highlight w:val="none"/>
                <w:vertAlign w:val="baseline"/>
                <w:lang w:eastAsia="zh-CN"/>
              </w:rPr>
            </w:pPr>
          </w:p>
        </w:tc>
        <w:tc>
          <w:tcPr>
            <w:tcW w:w="196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419" w:type="dxa"/>
          </w:tcPr>
          <w:p>
            <w:pPr>
              <w:jc w:val="center"/>
              <w:rPr>
                <w:rFonts w:hint="eastAsia" w:ascii="楷体" w:hAnsi="楷体" w:eastAsia="楷体" w:cs="楷体"/>
                <w:color w:val="auto"/>
                <w:highlight w:val="none"/>
                <w:vertAlign w:val="baseline"/>
                <w:lang w:eastAsia="zh-CN"/>
              </w:rPr>
            </w:pPr>
          </w:p>
        </w:tc>
        <w:tc>
          <w:tcPr>
            <w:tcW w:w="1821" w:type="dxa"/>
          </w:tcPr>
          <w:p>
            <w:pPr>
              <w:jc w:val="center"/>
              <w:rPr>
                <w:rFonts w:hint="eastAsia" w:ascii="楷体" w:hAnsi="楷体" w:eastAsia="楷体" w:cs="楷体"/>
                <w:color w:val="auto"/>
                <w:highlight w:val="none"/>
                <w:vertAlign w:val="baseline"/>
                <w:lang w:eastAsia="zh-CN"/>
              </w:rPr>
            </w:pPr>
          </w:p>
        </w:tc>
        <w:tc>
          <w:tcPr>
            <w:tcW w:w="1358" w:type="dxa"/>
          </w:tcPr>
          <w:p>
            <w:pPr>
              <w:jc w:val="center"/>
              <w:rPr>
                <w:rFonts w:hint="eastAsia" w:ascii="楷体" w:hAnsi="楷体" w:eastAsia="楷体" w:cs="楷体"/>
                <w:color w:val="auto"/>
                <w:highlight w:val="none"/>
                <w:vertAlign w:val="baseline"/>
                <w:lang w:eastAsia="zh-CN"/>
              </w:rPr>
            </w:pPr>
          </w:p>
        </w:tc>
      </w:tr>
    </w:tbl>
    <w:p>
      <w:pPr>
        <w:rPr>
          <w:rFonts w:hint="default" w:ascii="楷体" w:hAnsi="楷体" w:eastAsia="楷体" w:cs="楷体"/>
          <w:color w:val="auto"/>
          <w:highlight w:val="none"/>
          <w:lang w:val="en-US" w:eastAsia="zh-CN"/>
        </w:rPr>
      </w:pPr>
    </w:p>
    <w:p>
      <w:pPr>
        <w:spacing w:line="360" w:lineRule="auto"/>
        <w:rPr>
          <w:rFonts w:hint="eastAsia" w:ascii="楷体" w:hAnsi="楷体" w:eastAsia="楷体" w:cs="楷体"/>
          <w:color w:val="auto"/>
          <w:highlight w:val="none"/>
          <w:lang w:val="en-US" w:eastAsia="zh-CN"/>
        </w:rPr>
      </w:pPr>
      <w:r>
        <w:rPr>
          <w:rFonts w:hint="eastAsia" w:ascii="楷体" w:hAnsi="楷体" w:eastAsia="楷体" w:cs="楷体"/>
          <w:color w:val="auto"/>
          <w:sz w:val="24"/>
          <w:szCs w:val="24"/>
          <w:highlight w:val="none"/>
          <w:lang w:val="en-US" w:eastAsia="zh-CN" w:bidi="zh-TW"/>
        </w:rPr>
        <w:t>注：附业绩合同复印件。</w:t>
      </w:r>
      <w:r>
        <w:rPr>
          <w:rFonts w:hint="eastAsia" w:ascii="楷体" w:hAnsi="楷体" w:eastAsia="楷体" w:cs="楷体"/>
          <w:color w:val="auto"/>
          <w:highlight w:val="none"/>
          <w:lang w:val="en-US" w:eastAsia="zh-CN"/>
        </w:rPr>
        <w:br w:type="page"/>
      </w:r>
    </w:p>
    <w:p>
      <w:pPr>
        <w:pStyle w:val="4"/>
        <w:pageBreakBefore w:val="0"/>
        <w:numPr>
          <w:ilvl w:val="0"/>
          <w:numId w:val="0"/>
        </w:numPr>
        <w:kinsoku/>
        <w:wordWrap/>
        <w:overflowPunct/>
        <w:topLinePunct w:val="0"/>
        <w:bidi w:val="0"/>
        <w:snapToGrid w:val="0"/>
        <w:spacing w:before="156" w:after="156" w:line="560" w:lineRule="exact"/>
        <w:ind w:left="420" w:leftChars="0"/>
        <w:jc w:val="center"/>
        <w:outlineLvl w:val="0"/>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九、</w:t>
      </w:r>
      <w:r>
        <w:rPr>
          <w:rFonts w:hint="eastAsia" w:ascii="楷体" w:hAnsi="楷体" w:eastAsia="楷体" w:cs="楷体"/>
          <w:color w:val="auto"/>
          <w:highlight w:val="none"/>
        </w:rPr>
        <w:t>其他资料</w:t>
      </w:r>
      <w:bookmarkEnd w:id="197"/>
      <w:bookmarkEnd w:id="198"/>
      <w:bookmarkEnd w:id="199"/>
    </w:p>
    <w:p>
      <w:pPr>
        <w:jc w:val="center"/>
        <w:rPr>
          <w:rFonts w:hint="eastAsia" w:ascii="楷体" w:hAnsi="楷体" w:eastAsia="楷体" w:cs="楷体"/>
          <w:color w:val="auto"/>
          <w:highlight w:val="none"/>
          <w:vertAlign w:val="baseline"/>
          <w:lang w:val="en-US" w:eastAsia="zh-CN"/>
        </w:rPr>
      </w:pPr>
      <w:r>
        <w:rPr>
          <w:rFonts w:hint="eastAsia" w:ascii="楷体" w:hAnsi="楷体" w:eastAsia="楷体" w:cs="楷体"/>
          <w:color w:val="auto"/>
          <w:highlight w:val="none"/>
          <w:vertAlign w:val="baseline"/>
          <w:lang w:val="en-US" w:eastAsia="zh-CN"/>
        </w:rPr>
        <w:t>（供应商根据自身情况自行提供）</w:t>
      </w:r>
    </w:p>
    <w:p>
      <w:pPr>
        <w:pageBreakBefore w:val="0"/>
        <w:kinsoku/>
        <w:wordWrap/>
        <w:overflowPunct/>
        <w:topLinePunct w:val="0"/>
        <w:bidi w:val="0"/>
        <w:snapToGrid w:val="0"/>
        <w:spacing w:line="560" w:lineRule="exact"/>
        <w:ind w:firstLine="480" w:firstLineChars="200"/>
        <w:rPr>
          <w:rFonts w:hint="eastAsia" w:ascii="楷体" w:hAnsi="楷体" w:eastAsia="楷体" w:cs="楷体"/>
          <w:color w:val="auto"/>
          <w:sz w:val="24"/>
          <w:highlight w:val="none"/>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014424"/>
    </w:sdtPr>
    <w:sdtContent>
      <w:p>
        <w:pPr>
          <w:pStyle w:val="21"/>
          <w:jc w:val="center"/>
          <w:rPr>
            <w:rFonts w:hint="eastAsia"/>
          </w:rPr>
        </w:pPr>
        <w:r>
          <w:fldChar w:fldCharType="begin"/>
        </w:r>
        <w:r>
          <w:instrText xml:space="preserve">PAGE   \* MERGEFORMAT</w:instrText>
        </w:r>
        <w:r>
          <w:fldChar w:fldCharType="separate"/>
        </w:r>
        <w:r>
          <w:rPr>
            <w:rFonts w:hint="eastAsia"/>
            <w:lang w:val="zh-CN"/>
          </w:rPr>
          <w:t>66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C637A"/>
    <w:multiLevelType w:val="singleLevel"/>
    <w:tmpl w:val="95BC637A"/>
    <w:lvl w:ilvl="0" w:tentative="0">
      <w:start w:val="1"/>
      <w:numFmt w:val="decimal"/>
      <w:lvlText w:val="(%1)"/>
      <w:lvlJc w:val="left"/>
      <w:pPr>
        <w:ind w:left="425" w:hanging="425"/>
      </w:pPr>
      <w:rPr>
        <w:rFonts w:hint="default"/>
      </w:rPr>
    </w:lvl>
  </w:abstractNum>
  <w:abstractNum w:abstractNumId="1">
    <w:nsid w:val="AAC1A9D4"/>
    <w:multiLevelType w:val="singleLevel"/>
    <w:tmpl w:val="AAC1A9D4"/>
    <w:lvl w:ilvl="0" w:tentative="0">
      <w:start w:val="5"/>
      <w:numFmt w:val="chineseCounting"/>
      <w:suff w:val="nothing"/>
      <w:lvlText w:val="%1、"/>
      <w:lvlJc w:val="left"/>
      <w:rPr>
        <w:rFonts w:hint="eastAsia"/>
      </w:rPr>
    </w:lvl>
  </w:abstractNum>
  <w:abstractNum w:abstractNumId="2">
    <w:nsid w:val="BEED7A4B"/>
    <w:multiLevelType w:val="singleLevel"/>
    <w:tmpl w:val="BEED7A4B"/>
    <w:lvl w:ilvl="0" w:tentative="0">
      <w:start w:val="1"/>
      <w:numFmt w:val="decimal"/>
      <w:lvlText w:val="(%1)"/>
      <w:lvlJc w:val="left"/>
      <w:pPr>
        <w:ind w:left="425" w:hanging="425"/>
      </w:pPr>
      <w:rPr>
        <w:rFonts w:hint="default"/>
      </w:rPr>
    </w:lvl>
  </w:abstractNum>
  <w:abstractNum w:abstractNumId="3">
    <w:nsid w:val="DEFE8AA4"/>
    <w:multiLevelType w:val="singleLevel"/>
    <w:tmpl w:val="DEFE8AA4"/>
    <w:lvl w:ilvl="0" w:tentative="0">
      <w:start w:val="1"/>
      <w:numFmt w:val="decimal"/>
      <w:lvlText w:val="(%1)"/>
      <w:lvlJc w:val="left"/>
      <w:pPr>
        <w:ind w:left="425" w:hanging="425"/>
      </w:pPr>
      <w:rPr>
        <w:rFonts w:hint="default"/>
      </w:rPr>
    </w:lvl>
  </w:abstractNum>
  <w:abstractNum w:abstractNumId="4">
    <w:nsid w:val="FCDC691D"/>
    <w:multiLevelType w:val="singleLevel"/>
    <w:tmpl w:val="FCDC691D"/>
    <w:lvl w:ilvl="0" w:tentative="0">
      <w:start w:val="8"/>
      <w:numFmt w:val="chineseCounting"/>
      <w:suff w:val="nothing"/>
      <w:lvlText w:val="%1、"/>
      <w:lvlJc w:val="left"/>
      <w:rPr>
        <w:rFonts w:hint="eastAsia"/>
      </w:rPr>
    </w:lvl>
  </w:abstractNum>
  <w:abstractNum w:abstractNumId="5">
    <w:nsid w:val="FDF29B99"/>
    <w:multiLevelType w:val="singleLevel"/>
    <w:tmpl w:val="FDF29B99"/>
    <w:lvl w:ilvl="0" w:tentative="0">
      <w:start w:val="1"/>
      <w:numFmt w:val="decimal"/>
      <w:lvlText w:val="(%1)"/>
      <w:lvlJc w:val="left"/>
      <w:pPr>
        <w:ind w:left="425" w:hanging="425"/>
      </w:pPr>
      <w:rPr>
        <w:rFonts w:hint="default"/>
      </w:rPr>
    </w:lvl>
  </w:abstractNum>
  <w:abstractNum w:abstractNumId="6">
    <w:nsid w:val="05536BFD"/>
    <w:multiLevelType w:val="multilevel"/>
    <w:tmpl w:val="05536BFD"/>
    <w:lvl w:ilvl="0" w:tentative="0">
      <w:start w:val="1"/>
      <w:numFmt w:val="decimal"/>
      <w:lvlText w:val="%1、"/>
      <w:legacy w:legacy="1" w:legacySpace="0" w:legacyIndent="420"/>
      <w:lvlJc w:val="left"/>
      <w:pPr>
        <w:ind w:left="780" w:hanging="420"/>
      </w:pPr>
      <w:rPr>
        <w:rFonts w:hint="eastAsia" w:ascii="宋体" w:eastAsia="宋体"/>
        <w:b w:val="0"/>
        <w:i w:val="0"/>
        <w:sz w:val="24"/>
        <w:u w:val="none"/>
        <w:shd w:val="clear" w:color="auto" w:fill="auto"/>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pStyle w:val="6"/>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34552F9E"/>
    <w:multiLevelType w:val="singleLevel"/>
    <w:tmpl w:val="34552F9E"/>
    <w:lvl w:ilvl="0" w:tentative="0">
      <w:start w:val="1"/>
      <w:numFmt w:val="chineseCounting"/>
      <w:suff w:val="nothing"/>
      <w:lvlText w:val="%1、"/>
      <w:lvlJc w:val="left"/>
      <w:rPr>
        <w:rFonts w:hint="eastAsia"/>
      </w:rPr>
    </w:lvl>
  </w:abstractNum>
  <w:abstractNum w:abstractNumId="8">
    <w:nsid w:val="690CDFA2"/>
    <w:multiLevelType w:val="singleLevel"/>
    <w:tmpl w:val="690CDFA2"/>
    <w:lvl w:ilvl="0" w:tentative="0">
      <w:start w:val="2"/>
      <w:numFmt w:val="decimal"/>
      <w:suff w:val="nothing"/>
      <w:lvlText w:val="%1、"/>
      <w:lvlJc w:val="left"/>
    </w:lvl>
  </w:abstractNum>
  <w:abstractNum w:abstractNumId="9">
    <w:nsid w:val="6FDE3330"/>
    <w:multiLevelType w:val="singleLevel"/>
    <w:tmpl w:val="6FDE3330"/>
    <w:lvl w:ilvl="0" w:tentative="0">
      <w:start w:val="1"/>
      <w:numFmt w:val="decimal"/>
      <w:lvlText w:val="(%1)"/>
      <w:lvlJc w:val="left"/>
      <w:pPr>
        <w:ind w:left="425" w:hanging="425"/>
      </w:pPr>
      <w:rPr>
        <w:rFonts w:hint="default"/>
      </w:rPr>
    </w:lvl>
  </w:abstractNum>
  <w:abstractNum w:abstractNumId="10">
    <w:nsid w:val="73145073"/>
    <w:multiLevelType w:val="singleLevel"/>
    <w:tmpl w:val="73145073"/>
    <w:lvl w:ilvl="0" w:tentative="0">
      <w:start w:val="1"/>
      <w:numFmt w:val="decimal"/>
      <w:lvlText w:val="%1."/>
      <w:lvlJc w:val="left"/>
      <w:pPr>
        <w:ind w:left="425" w:hanging="425"/>
      </w:pPr>
      <w:rPr>
        <w:rFonts w:hint="default"/>
      </w:rPr>
    </w:lvl>
  </w:abstractNum>
  <w:abstractNum w:abstractNumId="11">
    <w:nsid w:val="7E7E2971"/>
    <w:multiLevelType w:val="singleLevel"/>
    <w:tmpl w:val="7E7E2971"/>
    <w:lvl w:ilvl="0" w:tentative="0">
      <w:start w:val="1"/>
      <w:numFmt w:val="decimal"/>
      <w:lvlText w:val="(%1)"/>
      <w:lvlJc w:val="left"/>
      <w:pPr>
        <w:ind w:left="425" w:hanging="425"/>
      </w:pPr>
      <w:rPr>
        <w:rFonts w:hint="default"/>
      </w:rPr>
    </w:lvl>
  </w:abstractNum>
  <w:num w:numId="1">
    <w:abstractNumId w:val="6"/>
  </w:num>
  <w:num w:numId="2">
    <w:abstractNumId w:val="1"/>
  </w:num>
  <w:num w:numId="3">
    <w:abstractNumId w:val="7"/>
  </w:num>
  <w:num w:numId="4">
    <w:abstractNumId w:val="10"/>
  </w:num>
  <w:num w:numId="5">
    <w:abstractNumId w:val="11"/>
  </w:num>
  <w:num w:numId="6">
    <w:abstractNumId w:val="3"/>
  </w:num>
  <w:num w:numId="7">
    <w:abstractNumId w:val="9"/>
  </w:num>
  <w:num w:numId="8">
    <w:abstractNumId w:val="2"/>
  </w:num>
  <w:num w:numId="9">
    <w:abstractNumId w:val="5"/>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ZWZlNTc1ZTI5ZTE0OTI4NmQ2ODA3ODdiZmNkZWUifQ=="/>
  </w:docVars>
  <w:rsids>
    <w:rsidRoot w:val="00000000"/>
    <w:rsid w:val="007B1ADA"/>
    <w:rsid w:val="00BA61DE"/>
    <w:rsid w:val="00C11C85"/>
    <w:rsid w:val="01242061"/>
    <w:rsid w:val="01401F5A"/>
    <w:rsid w:val="0155601B"/>
    <w:rsid w:val="019E57CC"/>
    <w:rsid w:val="01A85D51"/>
    <w:rsid w:val="01CA5DA6"/>
    <w:rsid w:val="02595302"/>
    <w:rsid w:val="025F0B06"/>
    <w:rsid w:val="02661E94"/>
    <w:rsid w:val="027F4D04"/>
    <w:rsid w:val="02943808"/>
    <w:rsid w:val="02E132C9"/>
    <w:rsid w:val="032D650E"/>
    <w:rsid w:val="035C5045"/>
    <w:rsid w:val="0373479A"/>
    <w:rsid w:val="046E5030"/>
    <w:rsid w:val="0473244A"/>
    <w:rsid w:val="047A06FB"/>
    <w:rsid w:val="04E13944"/>
    <w:rsid w:val="052027CE"/>
    <w:rsid w:val="05C4768B"/>
    <w:rsid w:val="06BC02D5"/>
    <w:rsid w:val="06C76C7A"/>
    <w:rsid w:val="06D2239F"/>
    <w:rsid w:val="06F86E33"/>
    <w:rsid w:val="06FA6088"/>
    <w:rsid w:val="070677A2"/>
    <w:rsid w:val="075E138C"/>
    <w:rsid w:val="076F3599"/>
    <w:rsid w:val="0781151E"/>
    <w:rsid w:val="08397703"/>
    <w:rsid w:val="08471E20"/>
    <w:rsid w:val="08BD19AF"/>
    <w:rsid w:val="093C07E0"/>
    <w:rsid w:val="093F4FA1"/>
    <w:rsid w:val="0946657C"/>
    <w:rsid w:val="097A6225"/>
    <w:rsid w:val="098350DA"/>
    <w:rsid w:val="09896468"/>
    <w:rsid w:val="0A6071C9"/>
    <w:rsid w:val="0AEC6CAF"/>
    <w:rsid w:val="0B067E3C"/>
    <w:rsid w:val="0B550CF8"/>
    <w:rsid w:val="0BCA6A7D"/>
    <w:rsid w:val="0BFA53FB"/>
    <w:rsid w:val="0C021464"/>
    <w:rsid w:val="0C1D4A5B"/>
    <w:rsid w:val="0CA33897"/>
    <w:rsid w:val="0D004C93"/>
    <w:rsid w:val="0D0B3D64"/>
    <w:rsid w:val="0D646FD0"/>
    <w:rsid w:val="0D8145D3"/>
    <w:rsid w:val="0D91151E"/>
    <w:rsid w:val="0DC848A8"/>
    <w:rsid w:val="0DF90060"/>
    <w:rsid w:val="0EE50A6A"/>
    <w:rsid w:val="0F4E7F38"/>
    <w:rsid w:val="0F73799F"/>
    <w:rsid w:val="0F750458"/>
    <w:rsid w:val="0FA15605"/>
    <w:rsid w:val="0FD75720"/>
    <w:rsid w:val="0FE03B0E"/>
    <w:rsid w:val="102431A3"/>
    <w:rsid w:val="103D0AB9"/>
    <w:rsid w:val="108300B5"/>
    <w:rsid w:val="110B261D"/>
    <w:rsid w:val="11254CC9"/>
    <w:rsid w:val="112E0021"/>
    <w:rsid w:val="117143B2"/>
    <w:rsid w:val="11E06E41"/>
    <w:rsid w:val="11FD5EA6"/>
    <w:rsid w:val="123C676E"/>
    <w:rsid w:val="129C720C"/>
    <w:rsid w:val="12EB689D"/>
    <w:rsid w:val="13707FF5"/>
    <w:rsid w:val="13712447"/>
    <w:rsid w:val="13A10F7E"/>
    <w:rsid w:val="13E23345"/>
    <w:rsid w:val="14213E6D"/>
    <w:rsid w:val="14425B91"/>
    <w:rsid w:val="15081063"/>
    <w:rsid w:val="15196AB7"/>
    <w:rsid w:val="1571672E"/>
    <w:rsid w:val="15AC3AE5"/>
    <w:rsid w:val="15AC59B8"/>
    <w:rsid w:val="15B80E69"/>
    <w:rsid w:val="15FF3D3A"/>
    <w:rsid w:val="160C28FB"/>
    <w:rsid w:val="16E7596C"/>
    <w:rsid w:val="16FA6108"/>
    <w:rsid w:val="1759391E"/>
    <w:rsid w:val="17683B61"/>
    <w:rsid w:val="17C63C83"/>
    <w:rsid w:val="17E4768B"/>
    <w:rsid w:val="17F66765"/>
    <w:rsid w:val="188618C3"/>
    <w:rsid w:val="18A575F7"/>
    <w:rsid w:val="18A6459E"/>
    <w:rsid w:val="18A961DF"/>
    <w:rsid w:val="19122ACA"/>
    <w:rsid w:val="191A2994"/>
    <w:rsid w:val="19832ED4"/>
    <w:rsid w:val="1A0A2E1E"/>
    <w:rsid w:val="1A2C70C8"/>
    <w:rsid w:val="1A8A4074"/>
    <w:rsid w:val="1A956516"/>
    <w:rsid w:val="1B304996"/>
    <w:rsid w:val="1B5D502F"/>
    <w:rsid w:val="1B650AE3"/>
    <w:rsid w:val="1BAF4FC1"/>
    <w:rsid w:val="1BBB6955"/>
    <w:rsid w:val="1BC11A92"/>
    <w:rsid w:val="1BE0016A"/>
    <w:rsid w:val="1BFE4A94"/>
    <w:rsid w:val="1C423651"/>
    <w:rsid w:val="1CEC0D90"/>
    <w:rsid w:val="1D7D7166"/>
    <w:rsid w:val="1D876CAE"/>
    <w:rsid w:val="1DD35239"/>
    <w:rsid w:val="1E6F1869"/>
    <w:rsid w:val="1E94348E"/>
    <w:rsid w:val="1F4201E6"/>
    <w:rsid w:val="1F505606"/>
    <w:rsid w:val="1FB43573"/>
    <w:rsid w:val="1FDC6BF8"/>
    <w:rsid w:val="1FE46757"/>
    <w:rsid w:val="1FF85CF2"/>
    <w:rsid w:val="205729C2"/>
    <w:rsid w:val="205A2E53"/>
    <w:rsid w:val="209F7DAC"/>
    <w:rsid w:val="20DF4E94"/>
    <w:rsid w:val="213827F6"/>
    <w:rsid w:val="21902632"/>
    <w:rsid w:val="21E8421C"/>
    <w:rsid w:val="223318CD"/>
    <w:rsid w:val="227821C1"/>
    <w:rsid w:val="22A02968"/>
    <w:rsid w:val="22DB78DD"/>
    <w:rsid w:val="22F34C27"/>
    <w:rsid w:val="233555C9"/>
    <w:rsid w:val="23A62A05"/>
    <w:rsid w:val="241B6079"/>
    <w:rsid w:val="24B2466D"/>
    <w:rsid w:val="24C21DD2"/>
    <w:rsid w:val="24F01C9D"/>
    <w:rsid w:val="25537BFE"/>
    <w:rsid w:val="256B13EC"/>
    <w:rsid w:val="25755DC7"/>
    <w:rsid w:val="261C4D22"/>
    <w:rsid w:val="263F16B0"/>
    <w:rsid w:val="26977FBF"/>
    <w:rsid w:val="26C32F8E"/>
    <w:rsid w:val="27514612"/>
    <w:rsid w:val="2764015D"/>
    <w:rsid w:val="27930786"/>
    <w:rsid w:val="27C32A92"/>
    <w:rsid w:val="282D2989"/>
    <w:rsid w:val="28546167"/>
    <w:rsid w:val="28AD7465"/>
    <w:rsid w:val="28BF46B0"/>
    <w:rsid w:val="290D4568"/>
    <w:rsid w:val="2973086F"/>
    <w:rsid w:val="2A25002F"/>
    <w:rsid w:val="2A7B6309"/>
    <w:rsid w:val="2AEA5922"/>
    <w:rsid w:val="2AFC4894"/>
    <w:rsid w:val="2B193698"/>
    <w:rsid w:val="2B4F3221"/>
    <w:rsid w:val="2B6C7C6C"/>
    <w:rsid w:val="2B8C5C18"/>
    <w:rsid w:val="2BC2687D"/>
    <w:rsid w:val="2C016606"/>
    <w:rsid w:val="2C864D5D"/>
    <w:rsid w:val="2D116E1E"/>
    <w:rsid w:val="2D76092E"/>
    <w:rsid w:val="2DB20D17"/>
    <w:rsid w:val="2DB256DE"/>
    <w:rsid w:val="2E310CF9"/>
    <w:rsid w:val="2EE951DD"/>
    <w:rsid w:val="2F477220"/>
    <w:rsid w:val="2F5527C5"/>
    <w:rsid w:val="2F7C676E"/>
    <w:rsid w:val="2F8A246F"/>
    <w:rsid w:val="2FDE6C5E"/>
    <w:rsid w:val="302503E9"/>
    <w:rsid w:val="30274161"/>
    <w:rsid w:val="30B17ECF"/>
    <w:rsid w:val="30DE275A"/>
    <w:rsid w:val="311D0D4C"/>
    <w:rsid w:val="31665C68"/>
    <w:rsid w:val="31741628"/>
    <w:rsid w:val="31BC0D8E"/>
    <w:rsid w:val="324A4137"/>
    <w:rsid w:val="32B95AD6"/>
    <w:rsid w:val="32D06D32"/>
    <w:rsid w:val="330C4328"/>
    <w:rsid w:val="331F3816"/>
    <w:rsid w:val="33553568"/>
    <w:rsid w:val="33597C84"/>
    <w:rsid w:val="337A712F"/>
    <w:rsid w:val="345614B9"/>
    <w:rsid w:val="34AE4E51"/>
    <w:rsid w:val="352D221A"/>
    <w:rsid w:val="355F133F"/>
    <w:rsid w:val="35675492"/>
    <w:rsid w:val="36985DB9"/>
    <w:rsid w:val="36F576B3"/>
    <w:rsid w:val="370E7E29"/>
    <w:rsid w:val="373D070E"/>
    <w:rsid w:val="37590487"/>
    <w:rsid w:val="37607F59"/>
    <w:rsid w:val="377B203F"/>
    <w:rsid w:val="379876F3"/>
    <w:rsid w:val="37B22EAA"/>
    <w:rsid w:val="38156F95"/>
    <w:rsid w:val="382578BE"/>
    <w:rsid w:val="382D42DF"/>
    <w:rsid w:val="383270B5"/>
    <w:rsid w:val="3888722D"/>
    <w:rsid w:val="397FBF02"/>
    <w:rsid w:val="3990216F"/>
    <w:rsid w:val="3A36033E"/>
    <w:rsid w:val="3A6F6E31"/>
    <w:rsid w:val="3AB6680E"/>
    <w:rsid w:val="3AC06579"/>
    <w:rsid w:val="3ACD1CF3"/>
    <w:rsid w:val="3ADD1FEC"/>
    <w:rsid w:val="3B304812"/>
    <w:rsid w:val="3B3C308E"/>
    <w:rsid w:val="3B9F482E"/>
    <w:rsid w:val="3BB26AC4"/>
    <w:rsid w:val="3BC907C3"/>
    <w:rsid w:val="3BFBA4B8"/>
    <w:rsid w:val="3BFC46F4"/>
    <w:rsid w:val="3BFF5F92"/>
    <w:rsid w:val="3C1063F2"/>
    <w:rsid w:val="3C61334E"/>
    <w:rsid w:val="3CAF79B9"/>
    <w:rsid w:val="3CB66F99"/>
    <w:rsid w:val="3E1F7633"/>
    <w:rsid w:val="3E2620E4"/>
    <w:rsid w:val="3E7F3294"/>
    <w:rsid w:val="3EA352FB"/>
    <w:rsid w:val="3EAA48DB"/>
    <w:rsid w:val="3F204B9E"/>
    <w:rsid w:val="3F7927FC"/>
    <w:rsid w:val="3FFEB833"/>
    <w:rsid w:val="402B55A8"/>
    <w:rsid w:val="415E375B"/>
    <w:rsid w:val="42113D3C"/>
    <w:rsid w:val="42BA0E65"/>
    <w:rsid w:val="431247FD"/>
    <w:rsid w:val="43331C8F"/>
    <w:rsid w:val="43487623"/>
    <w:rsid w:val="435168C8"/>
    <w:rsid w:val="43EC7D87"/>
    <w:rsid w:val="441422E2"/>
    <w:rsid w:val="441D78FE"/>
    <w:rsid w:val="443E0904"/>
    <w:rsid w:val="445D419E"/>
    <w:rsid w:val="447F01F6"/>
    <w:rsid w:val="449000D0"/>
    <w:rsid w:val="44A26055"/>
    <w:rsid w:val="45091548"/>
    <w:rsid w:val="455F7F67"/>
    <w:rsid w:val="45A63012"/>
    <w:rsid w:val="46442BF4"/>
    <w:rsid w:val="46535859"/>
    <w:rsid w:val="468E7C06"/>
    <w:rsid w:val="46945A20"/>
    <w:rsid w:val="472A07FF"/>
    <w:rsid w:val="47BC567F"/>
    <w:rsid w:val="48906AAE"/>
    <w:rsid w:val="48B04292"/>
    <w:rsid w:val="497A30FC"/>
    <w:rsid w:val="497E11A2"/>
    <w:rsid w:val="49804BB7"/>
    <w:rsid w:val="49C56A6D"/>
    <w:rsid w:val="4A5E1AE4"/>
    <w:rsid w:val="4A843199"/>
    <w:rsid w:val="4AAE5753"/>
    <w:rsid w:val="4B247725"/>
    <w:rsid w:val="4B49722A"/>
    <w:rsid w:val="4B5F07FC"/>
    <w:rsid w:val="4BFFE8DE"/>
    <w:rsid w:val="4C7958ED"/>
    <w:rsid w:val="4C96649F"/>
    <w:rsid w:val="4CBB3F4D"/>
    <w:rsid w:val="4CC528E0"/>
    <w:rsid w:val="4D1A70D0"/>
    <w:rsid w:val="4D7F33D7"/>
    <w:rsid w:val="4E61488B"/>
    <w:rsid w:val="4E695D36"/>
    <w:rsid w:val="4E6F0D56"/>
    <w:rsid w:val="4EAD187E"/>
    <w:rsid w:val="4F05790C"/>
    <w:rsid w:val="4FE85264"/>
    <w:rsid w:val="50795EBC"/>
    <w:rsid w:val="5107378E"/>
    <w:rsid w:val="510F4A72"/>
    <w:rsid w:val="514069D9"/>
    <w:rsid w:val="51435044"/>
    <w:rsid w:val="5209326F"/>
    <w:rsid w:val="520E4D2A"/>
    <w:rsid w:val="52340DA2"/>
    <w:rsid w:val="529214B7"/>
    <w:rsid w:val="538648F5"/>
    <w:rsid w:val="53A94D0A"/>
    <w:rsid w:val="53BA0CC5"/>
    <w:rsid w:val="53F02939"/>
    <w:rsid w:val="54B27BEE"/>
    <w:rsid w:val="54FF095A"/>
    <w:rsid w:val="553625CD"/>
    <w:rsid w:val="55B33C1E"/>
    <w:rsid w:val="55EE2B54"/>
    <w:rsid w:val="56A0760B"/>
    <w:rsid w:val="570C319C"/>
    <w:rsid w:val="575B631B"/>
    <w:rsid w:val="576E2940"/>
    <w:rsid w:val="5792501F"/>
    <w:rsid w:val="57D936E4"/>
    <w:rsid w:val="57E077B4"/>
    <w:rsid w:val="57FBADA4"/>
    <w:rsid w:val="586B07E0"/>
    <w:rsid w:val="58B86C87"/>
    <w:rsid w:val="58CE6FC1"/>
    <w:rsid w:val="59066A98"/>
    <w:rsid w:val="595158B5"/>
    <w:rsid w:val="5956122B"/>
    <w:rsid w:val="59610256"/>
    <w:rsid w:val="59CA57DB"/>
    <w:rsid w:val="59D2488F"/>
    <w:rsid w:val="59E720E8"/>
    <w:rsid w:val="5A236E98"/>
    <w:rsid w:val="5A5330C3"/>
    <w:rsid w:val="5AB27A06"/>
    <w:rsid w:val="5ABB079A"/>
    <w:rsid w:val="5AC32B55"/>
    <w:rsid w:val="5AEB20AC"/>
    <w:rsid w:val="5B1E1C14"/>
    <w:rsid w:val="5B487F38"/>
    <w:rsid w:val="5BAA5AC3"/>
    <w:rsid w:val="5BE7D4FD"/>
    <w:rsid w:val="5C14118E"/>
    <w:rsid w:val="5C895ED1"/>
    <w:rsid w:val="5CA3077E"/>
    <w:rsid w:val="5CE75583"/>
    <w:rsid w:val="5D015BB7"/>
    <w:rsid w:val="5E3337F8"/>
    <w:rsid w:val="5E47584B"/>
    <w:rsid w:val="5E9A1E1F"/>
    <w:rsid w:val="5EEB4428"/>
    <w:rsid w:val="5F164E4A"/>
    <w:rsid w:val="5F223BC2"/>
    <w:rsid w:val="5FD01870"/>
    <w:rsid w:val="5FFF25A3"/>
    <w:rsid w:val="60030FBC"/>
    <w:rsid w:val="602D281F"/>
    <w:rsid w:val="6066617A"/>
    <w:rsid w:val="60C02942"/>
    <w:rsid w:val="618D7A19"/>
    <w:rsid w:val="61C827FF"/>
    <w:rsid w:val="62612C54"/>
    <w:rsid w:val="629B20FB"/>
    <w:rsid w:val="63116428"/>
    <w:rsid w:val="631A352E"/>
    <w:rsid w:val="632C553A"/>
    <w:rsid w:val="633F2CE1"/>
    <w:rsid w:val="634A327F"/>
    <w:rsid w:val="63584057"/>
    <w:rsid w:val="638C5AAE"/>
    <w:rsid w:val="638C790B"/>
    <w:rsid w:val="63AC4223"/>
    <w:rsid w:val="63ED479F"/>
    <w:rsid w:val="640E2C38"/>
    <w:rsid w:val="65136487"/>
    <w:rsid w:val="66633E9A"/>
    <w:rsid w:val="666D7E19"/>
    <w:rsid w:val="666E2402"/>
    <w:rsid w:val="66FB71D3"/>
    <w:rsid w:val="66FDFE15"/>
    <w:rsid w:val="672C3830"/>
    <w:rsid w:val="67917B37"/>
    <w:rsid w:val="684830DC"/>
    <w:rsid w:val="685F19E3"/>
    <w:rsid w:val="692D0C83"/>
    <w:rsid w:val="697A2F79"/>
    <w:rsid w:val="699658D9"/>
    <w:rsid w:val="69D106BF"/>
    <w:rsid w:val="6A154A4F"/>
    <w:rsid w:val="6A1F142A"/>
    <w:rsid w:val="6A7554EE"/>
    <w:rsid w:val="6A8676FB"/>
    <w:rsid w:val="6ADC270A"/>
    <w:rsid w:val="6AF723A7"/>
    <w:rsid w:val="6B341F03"/>
    <w:rsid w:val="6B370BB3"/>
    <w:rsid w:val="6B5477F9"/>
    <w:rsid w:val="6B735ED1"/>
    <w:rsid w:val="6B8B2716"/>
    <w:rsid w:val="6BC94AC6"/>
    <w:rsid w:val="6BE10682"/>
    <w:rsid w:val="6C5C4BB7"/>
    <w:rsid w:val="6CBF0CA2"/>
    <w:rsid w:val="6CDC7AA6"/>
    <w:rsid w:val="6D0D7C60"/>
    <w:rsid w:val="6D617FAC"/>
    <w:rsid w:val="6DB602F7"/>
    <w:rsid w:val="6DD10C8D"/>
    <w:rsid w:val="6E331948"/>
    <w:rsid w:val="6E587601"/>
    <w:rsid w:val="6E79A42E"/>
    <w:rsid w:val="6EBECEF5"/>
    <w:rsid w:val="6ED570BB"/>
    <w:rsid w:val="6EFD198B"/>
    <w:rsid w:val="6F5F87E2"/>
    <w:rsid w:val="6FA74F6D"/>
    <w:rsid w:val="6FC62348"/>
    <w:rsid w:val="6FC74411"/>
    <w:rsid w:val="70063893"/>
    <w:rsid w:val="700D7258"/>
    <w:rsid w:val="70904E30"/>
    <w:rsid w:val="70911EA7"/>
    <w:rsid w:val="70FC24C5"/>
    <w:rsid w:val="711C2B67"/>
    <w:rsid w:val="714D2D21"/>
    <w:rsid w:val="71F571FA"/>
    <w:rsid w:val="72395053"/>
    <w:rsid w:val="72A161E3"/>
    <w:rsid w:val="72A526E9"/>
    <w:rsid w:val="72D35A08"/>
    <w:rsid w:val="72DF3E4C"/>
    <w:rsid w:val="72F53670"/>
    <w:rsid w:val="73026629"/>
    <w:rsid w:val="734C0DB6"/>
    <w:rsid w:val="73903399"/>
    <w:rsid w:val="73AD3F4B"/>
    <w:rsid w:val="73CB4271"/>
    <w:rsid w:val="73F12CA4"/>
    <w:rsid w:val="73FE5936"/>
    <w:rsid w:val="743D0FEC"/>
    <w:rsid w:val="74B66E2F"/>
    <w:rsid w:val="755F2CCE"/>
    <w:rsid w:val="75693EA1"/>
    <w:rsid w:val="75B34CFC"/>
    <w:rsid w:val="75FD70E9"/>
    <w:rsid w:val="76CD220E"/>
    <w:rsid w:val="76E50B44"/>
    <w:rsid w:val="76EA2DC0"/>
    <w:rsid w:val="76F7495F"/>
    <w:rsid w:val="771A36A5"/>
    <w:rsid w:val="7724443B"/>
    <w:rsid w:val="77333282"/>
    <w:rsid w:val="780622AC"/>
    <w:rsid w:val="78542BE7"/>
    <w:rsid w:val="78852DA0"/>
    <w:rsid w:val="78A204F6"/>
    <w:rsid w:val="78EC1071"/>
    <w:rsid w:val="790276F6"/>
    <w:rsid w:val="79047E6E"/>
    <w:rsid w:val="790C526F"/>
    <w:rsid w:val="79273E57"/>
    <w:rsid w:val="798C015E"/>
    <w:rsid w:val="79B00498"/>
    <w:rsid w:val="79B0209F"/>
    <w:rsid w:val="79FF8DCC"/>
    <w:rsid w:val="7A0C0044"/>
    <w:rsid w:val="7AE90865"/>
    <w:rsid w:val="7AEB530C"/>
    <w:rsid w:val="7AEE3332"/>
    <w:rsid w:val="7B446F42"/>
    <w:rsid w:val="7B610007"/>
    <w:rsid w:val="7B7672F2"/>
    <w:rsid w:val="7BA2010D"/>
    <w:rsid w:val="7BC14686"/>
    <w:rsid w:val="7BC167E5"/>
    <w:rsid w:val="7BC66E02"/>
    <w:rsid w:val="7BE6712F"/>
    <w:rsid w:val="7BEDA5CD"/>
    <w:rsid w:val="7C466CEA"/>
    <w:rsid w:val="7C7A7BF8"/>
    <w:rsid w:val="7D797974"/>
    <w:rsid w:val="7D9A72EE"/>
    <w:rsid w:val="7DBB54B6"/>
    <w:rsid w:val="7DC223A1"/>
    <w:rsid w:val="7E1A21DD"/>
    <w:rsid w:val="7E4F4B5D"/>
    <w:rsid w:val="7E948BEB"/>
    <w:rsid w:val="7EE10F4C"/>
    <w:rsid w:val="7F196938"/>
    <w:rsid w:val="7F1E3626"/>
    <w:rsid w:val="7F6F6558"/>
    <w:rsid w:val="7F732C84"/>
    <w:rsid w:val="7F7D6879"/>
    <w:rsid w:val="97FD7746"/>
    <w:rsid w:val="99FF2BF0"/>
    <w:rsid w:val="AB4D2078"/>
    <w:rsid w:val="ABAFE67F"/>
    <w:rsid w:val="B51FE4C6"/>
    <w:rsid w:val="BEB78134"/>
    <w:rsid w:val="BEE5E585"/>
    <w:rsid w:val="CFFE9802"/>
    <w:rsid w:val="DAFE28A6"/>
    <w:rsid w:val="DE5E986E"/>
    <w:rsid w:val="DFFD9F90"/>
    <w:rsid w:val="E5FFF0FA"/>
    <w:rsid w:val="EBACF1F3"/>
    <w:rsid w:val="ECB59DB8"/>
    <w:rsid w:val="EDDF2104"/>
    <w:rsid w:val="EFDF7547"/>
    <w:rsid w:val="EFFF8E18"/>
    <w:rsid w:val="F60E1309"/>
    <w:rsid w:val="F6FF5D33"/>
    <w:rsid w:val="F7E67AA8"/>
    <w:rsid w:val="FBDEC928"/>
    <w:rsid w:val="FD7D1C72"/>
    <w:rsid w:val="FDFE560E"/>
    <w:rsid w:val="FF8F6CB8"/>
    <w:rsid w:val="FFF563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9"/>
    <w:pPr>
      <w:keepNext/>
      <w:keepLines/>
      <w:spacing w:before="100" w:beforeLines="100" w:after="100" w:afterLines="100" w:line="360" w:lineRule="auto"/>
      <w:jc w:val="center"/>
      <w:outlineLvl w:val="0"/>
    </w:pPr>
    <w:rPr>
      <w:rFonts w:ascii="Times New Roman" w:hAnsi="Times New Roman" w:eastAsia="黑体"/>
      <w:bCs/>
      <w:kern w:val="44"/>
      <w:sz w:val="36"/>
      <w:szCs w:val="44"/>
    </w:rPr>
  </w:style>
  <w:style w:type="paragraph" w:styleId="4">
    <w:name w:val="heading 2"/>
    <w:basedOn w:val="1"/>
    <w:next w:val="1"/>
    <w:link w:val="40"/>
    <w:unhideWhenUsed/>
    <w:qFormat/>
    <w:uiPriority w:val="9"/>
    <w:pPr>
      <w:keepNext/>
      <w:keepLines/>
      <w:spacing w:before="50" w:beforeLines="50" w:after="50" w:afterLines="50" w:line="360" w:lineRule="auto"/>
      <w:jc w:val="left"/>
      <w:outlineLvl w:val="1"/>
    </w:pPr>
    <w:rPr>
      <w:rFonts w:eastAsia="宋体" w:asciiTheme="majorHAnsi" w:hAnsiTheme="majorHAnsi" w:cstheme="majorBidi"/>
      <w:b/>
      <w:bCs/>
      <w:sz w:val="32"/>
      <w:szCs w:val="32"/>
    </w:rPr>
  </w:style>
  <w:style w:type="paragraph" w:styleId="5">
    <w:name w:val="heading 3"/>
    <w:basedOn w:val="1"/>
    <w:next w:val="1"/>
    <w:link w:val="41"/>
    <w:unhideWhenUsed/>
    <w:qFormat/>
    <w:uiPriority w:val="9"/>
    <w:pPr>
      <w:keepNext/>
      <w:keepLines/>
      <w:spacing w:line="360" w:lineRule="auto"/>
      <w:jc w:val="left"/>
      <w:outlineLvl w:val="2"/>
    </w:pPr>
    <w:rPr>
      <w:rFonts w:ascii="Times New Roman" w:hAnsi="Times New Roman" w:eastAsia="宋体"/>
      <w:b/>
      <w:bCs/>
      <w:sz w:val="30"/>
      <w:szCs w:val="32"/>
    </w:rPr>
  </w:style>
  <w:style w:type="paragraph" w:styleId="6">
    <w:name w:val="heading 4"/>
    <w:basedOn w:val="1"/>
    <w:next w:val="1"/>
    <w:qFormat/>
    <w:uiPriority w:val="0"/>
    <w:pPr>
      <w:keepNext/>
      <w:numPr>
        <w:ilvl w:val="3"/>
        <w:numId w:val="1"/>
      </w:numPr>
      <w:overflowPunct w:val="0"/>
      <w:autoSpaceDE w:val="0"/>
      <w:autoSpaceDN w:val="0"/>
      <w:spacing w:before="240" w:beforeLines="0" w:after="60" w:afterLines="0" w:line="240" w:lineRule="atLeast"/>
      <w:jc w:val="left"/>
      <w:outlineLvl w:val="3"/>
    </w:pPr>
    <w:rPr>
      <w:b/>
      <w:i/>
      <w:spacing w:val="8"/>
      <w:sz w:val="24"/>
      <w:szCs w:val="24"/>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7">
    <w:name w:val="toc 7"/>
    <w:basedOn w:val="1"/>
    <w:next w:val="1"/>
    <w:unhideWhenUsed/>
    <w:qFormat/>
    <w:uiPriority w:val="39"/>
    <w:pPr>
      <w:ind w:left="2520" w:leftChars="1200"/>
    </w:pPr>
  </w:style>
  <w:style w:type="paragraph" w:styleId="8">
    <w:name w:val="Normal Indent"/>
    <w:basedOn w:val="1"/>
    <w:qFormat/>
    <w:uiPriority w:val="0"/>
    <w:pPr>
      <w:ind w:firstLine="420"/>
    </w:pPr>
    <w:rPr>
      <w:rFonts w:asciiTheme="minorHAnsi" w:hAnsiTheme="minorHAnsi" w:eastAsiaTheme="minorEastAsia" w:cstheme="minorBidi"/>
      <w:szCs w:val="22"/>
    </w:rPr>
  </w:style>
  <w:style w:type="paragraph" w:styleId="9">
    <w:name w:val="Document Map"/>
    <w:basedOn w:val="1"/>
    <w:next w:val="10"/>
    <w:semiHidden/>
    <w:qFormat/>
    <w:uiPriority w:val="0"/>
    <w:pPr>
      <w:shd w:val="clear" w:color="auto" w:fill="000080"/>
    </w:pPr>
  </w:style>
  <w:style w:type="paragraph" w:styleId="10">
    <w:name w:val="Date"/>
    <w:basedOn w:val="1"/>
    <w:next w:val="1"/>
    <w:qFormat/>
    <w:uiPriority w:val="0"/>
    <w:pPr>
      <w:adjustRightInd/>
      <w:spacing w:line="240" w:lineRule="auto"/>
      <w:ind w:left="100" w:leftChars="2500"/>
      <w:textAlignment w:val="auto"/>
    </w:pPr>
    <w:rPr>
      <w:kern w:val="2"/>
      <w:sz w:val="24"/>
      <w:szCs w:val="24"/>
    </w:rPr>
  </w:style>
  <w:style w:type="paragraph" w:styleId="11">
    <w:name w:val="annotation text"/>
    <w:basedOn w:val="1"/>
    <w:unhideWhenUsed/>
    <w:qFormat/>
    <w:uiPriority w:val="99"/>
    <w:pPr>
      <w:jc w:val="left"/>
    </w:pPr>
  </w:style>
  <w:style w:type="paragraph" w:styleId="12">
    <w:name w:val="Body Text 3"/>
    <w:basedOn w:val="1"/>
    <w:next w:val="13"/>
    <w:qFormat/>
    <w:uiPriority w:val="0"/>
    <w:rPr>
      <w:rFonts w:ascii="宋体"/>
      <w:sz w:val="24"/>
      <w:szCs w:val="20"/>
    </w:rPr>
  </w:style>
  <w:style w:type="paragraph" w:styleId="13">
    <w:name w:val="toc 8"/>
    <w:basedOn w:val="1"/>
    <w:next w:val="1"/>
    <w:unhideWhenUsed/>
    <w:qFormat/>
    <w:uiPriority w:val="39"/>
    <w:pPr>
      <w:ind w:left="2940" w:leftChars="1400"/>
    </w:pPr>
  </w:style>
  <w:style w:type="paragraph" w:styleId="14">
    <w:name w:val="Body Text"/>
    <w:basedOn w:val="1"/>
    <w:next w:val="15"/>
    <w:qFormat/>
    <w:uiPriority w:val="1"/>
    <w:rPr>
      <w:rFonts w:ascii="宋体" w:hAnsi="宋体" w:eastAsia="宋体" w:cs="宋体"/>
      <w:sz w:val="24"/>
      <w:szCs w:val="24"/>
      <w:lang w:val="zh-CN" w:eastAsia="zh-CN" w:bidi="zh-CN"/>
    </w:rPr>
  </w:style>
  <w:style w:type="paragraph" w:customStyle="1" w:styleId="15">
    <w:name w:val="浅色底纹 - 强调文字颜色 11"/>
    <w:basedOn w:val="1"/>
    <w:next w:val="1"/>
    <w:qFormat/>
    <w:uiPriority w:val="0"/>
    <w:pPr>
      <w:pBdr>
        <w:bottom w:val="single" w:color="4F81BD" w:sz="4" w:space="4"/>
      </w:pBdr>
      <w:spacing w:before="200" w:after="280"/>
      <w:ind w:left="936" w:right="936"/>
    </w:pPr>
    <w:rPr>
      <w:b/>
      <w:bCs/>
      <w:i/>
      <w:iCs/>
      <w:color w:val="4F81BD"/>
      <w:szCs w:val="22"/>
    </w:rPr>
  </w:style>
  <w:style w:type="paragraph" w:styleId="16">
    <w:name w:val="Body Text Indent"/>
    <w:basedOn w:val="1"/>
    <w:next w:val="17"/>
    <w:qFormat/>
    <w:uiPriority w:val="0"/>
    <w:pPr>
      <w:spacing w:line="480" w:lineRule="auto"/>
      <w:ind w:firstLine="480"/>
    </w:pPr>
    <w:rPr>
      <w:rFonts w:ascii="仿宋_GB2312" w:eastAsia="仿宋_GB2312"/>
      <w:sz w:val="28"/>
    </w:rPr>
  </w:style>
  <w:style w:type="paragraph" w:styleId="17">
    <w:name w:val="envelope return"/>
    <w:basedOn w:val="1"/>
    <w:qFormat/>
    <w:uiPriority w:val="0"/>
    <w:pPr>
      <w:snapToGrid w:val="0"/>
    </w:pPr>
    <w:rPr>
      <w:rFonts w:ascii="Arial" w:hAnsi="Arial"/>
    </w:rPr>
  </w:style>
  <w:style w:type="paragraph" w:styleId="18">
    <w:name w:val="toc 5"/>
    <w:basedOn w:val="1"/>
    <w:next w:val="1"/>
    <w:unhideWhenUsed/>
    <w:qFormat/>
    <w:uiPriority w:val="39"/>
    <w:pPr>
      <w:ind w:left="1680" w:leftChars="800"/>
    </w:pPr>
  </w:style>
  <w:style w:type="paragraph" w:styleId="19">
    <w:name w:val="toc 3"/>
    <w:basedOn w:val="1"/>
    <w:next w:val="1"/>
    <w:unhideWhenUsed/>
    <w:qFormat/>
    <w:uiPriority w:val="39"/>
    <w:pPr>
      <w:ind w:left="840" w:leftChars="400"/>
    </w:pPr>
  </w:style>
  <w:style w:type="paragraph" w:styleId="20">
    <w:name w:val="Plain Text"/>
    <w:basedOn w:val="1"/>
    <w:next w:val="21"/>
    <w:qFormat/>
    <w:uiPriority w:val="0"/>
    <w:pPr>
      <w:adjustRightInd/>
      <w:spacing w:line="240" w:lineRule="auto"/>
      <w:textAlignment w:val="auto"/>
    </w:pPr>
    <w:rPr>
      <w:rFonts w:ascii="宋体" w:hAnsi="Courier New"/>
      <w:kern w:val="2"/>
    </w:rPr>
  </w:style>
  <w:style w:type="paragraph" w:styleId="21">
    <w:name w:val="footer"/>
    <w:basedOn w:val="1"/>
    <w:link w:val="44"/>
    <w:unhideWhenUsed/>
    <w:qFormat/>
    <w:uiPriority w:val="99"/>
    <w:pPr>
      <w:tabs>
        <w:tab w:val="center" w:pos="4153"/>
        <w:tab w:val="right" w:pos="8306"/>
      </w:tabs>
      <w:snapToGrid w:val="0"/>
      <w:jc w:val="left"/>
    </w:pPr>
    <w:rPr>
      <w:sz w:val="18"/>
      <w:szCs w:val="18"/>
    </w:rPr>
  </w:style>
  <w:style w:type="paragraph" w:styleId="22">
    <w:name w:val="Balloon Text"/>
    <w:basedOn w:val="1"/>
    <w:link w:val="46"/>
    <w:unhideWhenUsed/>
    <w:qFormat/>
    <w:uiPriority w:val="99"/>
    <w:rPr>
      <w:sz w:val="18"/>
      <w:szCs w:val="18"/>
    </w:rPr>
  </w:style>
  <w:style w:type="paragraph" w:styleId="23">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style>
  <w:style w:type="paragraph" w:styleId="25">
    <w:name w:val="toc 4"/>
    <w:basedOn w:val="1"/>
    <w:next w:val="1"/>
    <w:unhideWhenUsed/>
    <w:qFormat/>
    <w:uiPriority w:val="39"/>
    <w:pPr>
      <w:ind w:left="1260" w:leftChars="600"/>
    </w:pPr>
  </w:style>
  <w:style w:type="paragraph" w:styleId="26">
    <w:name w:val="toc 6"/>
    <w:basedOn w:val="1"/>
    <w:next w:val="1"/>
    <w:unhideWhenUsed/>
    <w:qFormat/>
    <w:uiPriority w:val="39"/>
    <w:pPr>
      <w:ind w:left="2100" w:leftChars="1000"/>
    </w:pPr>
  </w:style>
  <w:style w:type="paragraph" w:styleId="27">
    <w:name w:val="toc 9"/>
    <w:basedOn w:val="1"/>
    <w:next w:val="1"/>
    <w:unhideWhenUsed/>
    <w:qFormat/>
    <w:uiPriority w:val="39"/>
    <w:pPr>
      <w:ind w:left="3360" w:leftChars="1600"/>
    </w:p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Body Text First Indent"/>
    <w:basedOn w:val="14"/>
    <w:next w:val="30"/>
    <w:qFormat/>
    <w:uiPriority w:val="0"/>
    <w:pPr>
      <w:ind w:firstLine="420" w:firstLineChars="100"/>
    </w:pPr>
    <w:rPr>
      <w:kern w:val="0"/>
      <w:sz w:val="20"/>
    </w:rPr>
  </w:style>
  <w:style w:type="paragraph" w:styleId="30">
    <w:name w:val="Body Text First Indent 2"/>
    <w:basedOn w:val="16"/>
    <w:semiHidden/>
    <w:qFormat/>
    <w:uiPriority w:val="99"/>
    <w:pPr>
      <w:ind w:firstLine="420" w:firstLineChars="200"/>
    </w:p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bCs/>
    </w:rPr>
  </w:style>
  <w:style w:type="character" w:styleId="35">
    <w:name w:val="Emphasis"/>
    <w:basedOn w:val="33"/>
    <w:qFormat/>
    <w:uiPriority w:val="20"/>
    <w:rPr>
      <w:i/>
    </w:rPr>
  </w:style>
  <w:style w:type="character" w:styleId="36">
    <w:name w:val="Hyperlink"/>
    <w:basedOn w:val="33"/>
    <w:unhideWhenUsed/>
    <w:qFormat/>
    <w:uiPriority w:val="99"/>
    <w:rPr>
      <w:color w:val="0000FF" w:themeColor="hyperlink"/>
      <w:u w:val="single"/>
      <w14:textFill>
        <w14:solidFill>
          <w14:schemeClr w14:val="hlink"/>
        </w14:solidFill>
      </w14:textFill>
    </w:rPr>
  </w:style>
  <w:style w:type="paragraph" w:customStyle="1" w:styleId="37">
    <w:name w:val="Default"/>
    <w:qFormat/>
    <w:uiPriority w:val="0"/>
    <w:pPr>
      <w:widowControl w:val="0"/>
      <w:autoSpaceDE w:val="0"/>
      <w:autoSpaceDN w:val="0"/>
    </w:pPr>
    <w:rPr>
      <w:rFonts w:ascii="宋体" w:hAnsi="宋体" w:eastAsia="宋体" w:cs="Times New Roman"/>
      <w:color w:val="000000"/>
      <w:sz w:val="24"/>
      <w:szCs w:val="22"/>
      <w:lang w:val="en-US" w:eastAsia="zh-CN" w:bidi="ar-SA"/>
    </w:rPr>
  </w:style>
  <w:style w:type="paragraph" w:customStyle="1" w:styleId="38">
    <w:name w:val="正文1"/>
    <w:basedOn w:val="1"/>
    <w:qFormat/>
    <w:uiPriority w:val="0"/>
    <w:pPr>
      <w:adjustRightInd w:val="0"/>
      <w:spacing w:line="318" w:lineRule="atLeast"/>
      <w:ind w:left="369" w:firstLine="369"/>
      <w:textAlignment w:val="baseline"/>
    </w:pPr>
    <w:rPr>
      <w:rFonts w:ascii="宋体"/>
      <w:szCs w:val="20"/>
    </w:rPr>
  </w:style>
  <w:style w:type="character" w:customStyle="1" w:styleId="39">
    <w:name w:val="标题 1 Char"/>
    <w:basedOn w:val="33"/>
    <w:link w:val="3"/>
    <w:qFormat/>
    <w:uiPriority w:val="9"/>
    <w:rPr>
      <w:rFonts w:ascii="Times New Roman" w:hAnsi="Times New Roman" w:eastAsia="黑体"/>
      <w:bCs/>
      <w:kern w:val="44"/>
      <w:sz w:val="36"/>
      <w:szCs w:val="44"/>
    </w:rPr>
  </w:style>
  <w:style w:type="character" w:customStyle="1" w:styleId="40">
    <w:name w:val="标题 2 Char"/>
    <w:basedOn w:val="33"/>
    <w:link w:val="4"/>
    <w:qFormat/>
    <w:uiPriority w:val="9"/>
    <w:rPr>
      <w:rFonts w:eastAsia="宋体" w:asciiTheme="majorHAnsi" w:hAnsiTheme="majorHAnsi" w:cstheme="majorBidi"/>
      <w:b/>
      <w:bCs/>
      <w:sz w:val="32"/>
      <w:szCs w:val="32"/>
    </w:rPr>
  </w:style>
  <w:style w:type="character" w:customStyle="1" w:styleId="41">
    <w:name w:val="标题 3 Char"/>
    <w:basedOn w:val="33"/>
    <w:link w:val="5"/>
    <w:qFormat/>
    <w:uiPriority w:val="9"/>
    <w:rPr>
      <w:rFonts w:ascii="Times New Roman" w:hAnsi="Times New Roman" w:eastAsia="宋体"/>
      <w:b/>
      <w:bCs/>
      <w:sz w:val="30"/>
      <w:szCs w:val="32"/>
    </w:rPr>
  </w:style>
  <w:style w:type="paragraph" w:customStyle="1" w:styleId="42">
    <w:name w:val="List Paragraph"/>
    <w:basedOn w:val="1"/>
    <w:qFormat/>
    <w:uiPriority w:val="34"/>
    <w:pPr>
      <w:ind w:firstLine="420" w:firstLineChars="200"/>
    </w:pPr>
  </w:style>
  <w:style w:type="character" w:customStyle="1" w:styleId="43">
    <w:name w:val="页眉 Char"/>
    <w:basedOn w:val="33"/>
    <w:link w:val="23"/>
    <w:qFormat/>
    <w:uiPriority w:val="99"/>
    <w:rPr>
      <w:sz w:val="18"/>
      <w:szCs w:val="18"/>
    </w:rPr>
  </w:style>
  <w:style w:type="character" w:customStyle="1" w:styleId="44">
    <w:name w:val="页脚 Char"/>
    <w:basedOn w:val="33"/>
    <w:link w:val="21"/>
    <w:qFormat/>
    <w:uiPriority w:val="99"/>
    <w:rPr>
      <w:sz w:val="18"/>
      <w:szCs w:val="18"/>
    </w:rPr>
  </w:style>
  <w:style w:type="paragraph" w:customStyle="1" w:styleId="45">
    <w:name w:val="TOC Heading"/>
    <w:basedOn w:val="3"/>
    <w:next w:val="1"/>
    <w:unhideWhenUsed/>
    <w:qFormat/>
    <w:uiPriority w:val="39"/>
    <w:pPr>
      <w:widowControl/>
      <w:spacing w:before="480" w:beforeLines="0" w:after="0" w:afterLines="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6">
    <w:name w:val="批注框文本 Char"/>
    <w:basedOn w:val="33"/>
    <w:link w:val="22"/>
    <w:semiHidden/>
    <w:qFormat/>
    <w:uiPriority w:val="99"/>
    <w:rPr>
      <w:sz w:val="18"/>
      <w:szCs w:val="18"/>
    </w:rPr>
  </w:style>
  <w:style w:type="paragraph" w:customStyle="1" w:styleId="47">
    <w:name w:val="列出段落1"/>
    <w:basedOn w:val="1"/>
    <w:qFormat/>
    <w:uiPriority w:val="0"/>
    <w:pPr>
      <w:ind w:firstLine="420"/>
    </w:pPr>
    <w:rPr>
      <w:rFonts w:ascii="Calibri" w:hAnsi="Calibri" w:cs="黑体"/>
      <w:szCs w:val="22"/>
    </w:rPr>
  </w:style>
  <w:style w:type="character" w:customStyle="1" w:styleId="48">
    <w:name w:val="font01"/>
    <w:basedOn w:val="33"/>
    <w:qFormat/>
    <w:uiPriority w:val="0"/>
    <w:rPr>
      <w:rFonts w:hint="eastAsia" w:ascii="宋体" w:hAnsi="宋体" w:eastAsia="宋体" w:cs="宋体"/>
      <w:color w:val="000000"/>
      <w:sz w:val="24"/>
      <w:szCs w:val="24"/>
      <w:u w:val="none"/>
    </w:rPr>
  </w:style>
  <w:style w:type="paragraph" w:customStyle="1" w:styleId="49">
    <w:name w:val="Table Paragraph"/>
    <w:basedOn w:val="1"/>
    <w:qFormat/>
    <w:uiPriority w:val="1"/>
    <w:rPr>
      <w:rFonts w:ascii="宋体" w:hAnsi="宋体" w:eastAsia="宋体" w:cs="宋体"/>
      <w:lang w:val="zh-CN" w:eastAsia="zh-CN" w:bidi="zh-CN"/>
    </w:rPr>
  </w:style>
  <w:style w:type="paragraph" w:customStyle="1" w:styleId="50">
    <w:name w:val="BodyText"/>
    <w:basedOn w:val="1"/>
    <w:next w:val="1"/>
    <w:qFormat/>
    <w:uiPriority w:val="0"/>
    <w:pPr>
      <w:jc w:val="center"/>
    </w:pPr>
    <w:rPr>
      <w:rFonts w:ascii="仿宋_GB2312"/>
    </w:rPr>
  </w:style>
  <w:style w:type="character" w:customStyle="1" w:styleId="51">
    <w:name w:val="NormalCharacter"/>
    <w:link w:val="52"/>
    <w:qFormat/>
    <w:uiPriority w:val="0"/>
  </w:style>
  <w:style w:type="paragraph" w:customStyle="1" w:styleId="52">
    <w:name w:val="UserStyle_3"/>
    <w:basedOn w:val="1"/>
    <w:link w:val="51"/>
    <w:qFormat/>
    <w:uiPriority w:val="0"/>
    <w:pPr>
      <w:spacing w:after="160" w:line="240" w:lineRule="exact"/>
      <w:jc w:val="left"/>
    </w:pPr>
  </w:style>
  <w:style w:type="paragraph" w:customStyle="1" w:styleId="53">
    <w:name w:val="WPSOffice手动目录 1"/>
    <w:qFormat/>
    <w:uiPriority w:val="0"/>
    <w:pPr>
      <w:ind w:leftChars="0"/>
    </w:pPr>
    <w:rPr>
      <w:rFonts w:ascii="Times New Roman" w:hAnsi="Times New Roman" w:eastAsia="宋体" w:cs="Times New Roman"/>
      <w:sz w:val="20"/>
      <w:szCs w:val="20"/>
    </w:rPr>
  </w:style>
  <w:style w:type="paragraph" w:customStyle="1" w:styleId="54">
    <w:name w:val="WPSOffice手动目录 2"/>
    <w:qFormat/>
    <w:uiPriority w:val="0"/>
    <w:pPr>
      <w:ind w:leftChars="200"/>
    </w:pPr>
    <w:rPr>
      <w:rFonts w:ascii="Times New Roman" w:hAnsi="Times New Roman" w:eastAsia="宋体" w:cs="Times New Roman"/>
      <w:sz w:val="20"/>
      <w:szCs w:val="20"/>
    </w:rPr>
  </w:style>
  <w:style w:type="paragraph" w:customStyle="1" w:styleId="55">
    <w:name w:val="WPSOffice手动目录 3"/>
    <w:qFormat/>
    <w:uiPriority w:val="0"/>
    <w:pPr>
      <w:ind w:leftChars="400"/>
    </w:pPr>
    <w:rPr>
      <w:rFonts w:ascii="Times New Roman" w:hAnsi="Times New Roman" w:eastAsia="宋体" w:cs="Times New Roman"/>
      <w:sz w:val="20"/>
      <w:szCs w:val="20"/>
    </w:rPr>
  </w:style>
  <w:style w:type="character" w:customStyle="1" w:styleId="56">
    <w:name w:val="font11"/>
    <w:basedOn w:val="33"/>
    <w:qFormat/>
    <w:uiPriority w:val="0"/>
    <w:rPr>
      <w:rFonts w:hint="eastAsia" w:ascii="微软雅黑" w:hAnsi="微软雅黑" w:eastAsia="微软雅黑" w:cs="微软雅黑"/>
      <w:color w:val="000000"/>
      <w:sz w:val="22"/>
      <w:szCs w:val="22"/>
      <w:u w:val="none"/>
    </w:rPr>
  </w:style>
  <w:style w:type="paragraph" w:customStyle="1" w:styleId="57">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58">
    <w:name w:val="179"/>
    <w:basedOn w:val="1"/>
    <w:qFormat/>
    <w:uiPriority w:val="0"/>
    <w:pPr>
      <w:ind w:firstLine="420" w:firstLineChars="200"/>
    </w:pPr>
  </w:style>
  <w:style w:type="paragraph" w:customStyle="1" w:styleId="59">
    <w:name w:val="纯文本1"/>
    <w:basedOn w:val="1"/>
    <w:qFormat/>
    <w:uiPriority w:val="0"/>
    <w:pPr>
      <w:adjustRightInd/>
      <w:spacing w:line="240" w:lineRule="auto"/>
      <w:jc w:val="both"/>
      <w:textAlignment w:val="auto"/>
    </w:pPr>
    <w:rPr>
      <w:rFonts w:ascii="宋体" w:hAnsi="Courier New"/>
      <w:kern w:val="2"/>
      <w:sz w:val="21"/>
      <w:szCs w:val="21"/>
    </w:rPr>
  </w:style>
  <w:style w:type="paragraph" w:customStyle="1" w:styleId="60">
    <w:name w:val="正文116"/>
    <w:basedOn w:val="1"/>
    <w:qFormat/>
    <w:uiPriority w:val="0"/>
    <w:pPr>
      <w:adjustRightInd w:val="0"/>
      <w:spacing w:line="318" w:lineRule="atLeast"/>
      <w:ind w:left="369" w:firstLine="369"/>
      <w:textAlignment w:val="baseline"/>
    </w:pPr>
    <w:rPr>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39</Pages>
  <Words>11160</Words>
  <Characters>11681</Characters>
  <Lines>1240</Lines>
  <Paragraphs>36</Paragraphs>
  <TotalTime>4</TotalTime>
  <ScaleCrop>false</ScaleCrop>
  <LinksUpToDate>false</LinksUpToDate>
  <CharactersWithSpaces>13196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2020-10-19T14:57:00Z</dcterms:created>
  <dc:creator>Administrator</dc:creator>
  <cp:lastModifiedBy>墨人</cp:lastModifiedBy>
  <cp:lastPrinted>2023-02-21T05:49:00Z</cp:lastPrinted>
  <dcterms:modified xsi:type="dcterms:W3CDTF">2023-03-14T03:29:53Z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34B5ABF8BDD249DDA3A3B82B7E5A2A73</vt:lpwstr>
  </property>
</Properties>
</file>